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8C27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Supplementary materials </w:t>
      </w:r>
    </w:p>
    <w:p w14:paraId="23E7664C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miR-520b</w:t>
      </w:r>
      <w:r>
        <w:rPr>
          <w:rFonts w:ascii="Arial" w:hAnsi="Arial" w:cs="Arial" w:hint="eastAsia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promotes breast cancer stemness through Hippo/YAP signaling pathway</w:t>
      </w:r>
    </w:p>
    <w:p w14:paraId="7F4C38F0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hAnsi="Arial" w:cs="Arial"/>
          <w:szCs w:val="21"/>
          <w:vertAlign w:val="superscript"/>
        </w:rPr>
      </w:pPr>
      <w:r>
        <w:rPr>
          <w:rFonts w:ascii="Arial" w:hAnsi="Arial" w:cs="Arial"/>
          <w:szCs w:val="21"/>
        </w:rPr>
        <w:t>Hui Zhang</w:t>
      </w:r>
      <w:r>
        <w:rPr>
          <w:rFonts w:ascii="Arial" w:hAnsi="Arial" w:cs="Arial"/>
          <w:szCs w:val="21"/>
          <w:vertAlign w:val="superscript"/>
        </w:rPr>
        <w:t>1,2*</w:t>
      </w:r>
      <w:r>
        <w:rPr>
          <w:rFonts w:ascii="Arial" w:hAnsi="Arial" w:cs="Arial"/>
          <w:szCs w:val="21"/>
        </w:rPr>
        <w:t>, Ting-yuan Lang</w:t>
      </w:r>
      <w:r>
        <w:rPr>
          <w:rFonts w:ascii="Arial" w:hAnsi="Arial" w:cs="Arial"/>
          <w:szCs w:val="21"/>
          <w:vertAlign w:val="superscript"/>
        </w:rPr>
        <w:t>3*</w:t>
      </w:r>
      <w:r>
        <w:rPr>
          <w:rFonts w:ascii="Arial" w:hAnsi="Arial" w:cs="Arial"/>
          <w:szCs w:val="21"/>
        </w:rPr>
        <w:t>, Dongling Zou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</w:rPr>
        <w:t>, Lei Zhou</w:t>
      </w:r>
      <w:r>
        <w:rPr>
          <w:rFonts w:ascii="Arial" w:hAnsi="Arial" w:cs="Arial"/>
          <w:szCs w:val="21"/>
          <w:vertAlign w:val="superscript"/>
        </w:rPr>
        <w:t>4,5,6</w:t>
      </w:r>
      <w:r>
        <w:rPr>
          <w:rFonts w:ascii="Arial" w:hAnsi="Arial" w:cs="Arial"/>
          <w:szCs w:val="21"/>
        </w:rPr>
        <w:t>, Meng Lou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</w:rPr>
        <w:t>, Jing-shu Liu</w:t>
      </w:r>
      <w:r>
        <w:rPr>
          <w:rFonts w:ascii="Arial" w:hAnsi="Arial" w:cs="Arial"/>
          <w:szCs w:val="21"/>
          <w:vertAlign w:val="superscript"/>
        </w:rPr>
        <w:t>7</w:t>
      </w:r>
      <w:r>
        <w:rPr>
          <w:rFonts w:ascii="Arial" w:hAnsi="Arial" w:cs="Arial"/>
          <w:szCs w:val="21"/>
        </w:rPr>
        <w:t>, Yun-zhe Li</w:t>
      </w:r>
      <w:r>
        <w:rPr>
          <w:rFonts w:ascii="Arial" w:hAnsi="Arial" w:cs="Arial"/>
          <w:szCs w:val="21"/>
          <w:vertAlign w:val="superscript"/>
        </w:rPr>
        <w:t>7</w:t>
      </w:r>
      <w:r>
        <w:rPr>
          <w:rFonts w:ascii="Arial" w:hAnsi="Arial" w:cs="Arial"/>
          <w:szCs w:val="21"/>
        </w:rPr>
        <w:t>, Dong-yan Ding</w:t>
      </w:r>
      <w:r>
        <w:rPr>
          <w:rFonts w:ascii="Arial" w:hAnsi="Arial" w:cs="Arial"/>
          <w:szCs w:val="21"/>
          <w:vertAlign w:val="superscript"/>
        </w:rPr>
        <w:t>7</w:t>
      </w:r>
      <w:r>
        <w:rPr>
          <w:rFonts w:ascii="Arial" w:hAnsi="Arial" w:cs="Arial"/>
          <w:szCs w:val="21"/>
        </w:rPr>
        <w:t>, Yu-cong Li</w:t>
      </w:r>
      <w:r>
        <w:rPr>
          <w:rFonts w:ascii="Arial" w:hAnsi="Arial" w:cs="Arial"/>
          <w:szCs w:val="21"/>
          <w:vertAlign w:val="superscript"/>
        </w:rPr>
        <w:t>3,7</w:t>
      </w:r>
      <w:r>
        <w:rPr>
          <w:rFonts w:ascii="Arial" w:hAnsi="Arial" w:cs="Arial"/>
          <w:szCs w:val="21"/>
        </w:rPr>
        <w:t>, Na Zhang</w:t>
      </w:r>
      <w:r>
        <w:rPr>
          <w:rFonts w:ascii="Arial" w:hAnsi="Arial" w:cs="Arial"/>
          <w:szCs w:val="21"/>
          <w:vertAlign w:val="superscript"/>
        </w:rPr>
        <w:t>3</w:t>
      </w:r>
      <w:r>
        <w:rPr>
          <w:rFonts w:ascii="Arial" w:hAnsi="Arial" w:cs="Arial"/>
          <w:szCs w:val="21"/>
        </w:rPr>
        <w:t>, Xiao-dong Zheng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>, Xiao-hua Zeng</w:t>
      </w:r>
      <w:r>
        <w:rPr>
          <w:rFonts w:ascii="Arial" w:hAnsi="Arial" w:cs="Arial"/>
          <w:szCs w:val="21"/>
          <w:vertAlign w:val="superscript"/>
        </w:rPr>
        <w:t>2</w:t>
      </w:r>
      <w:r>
        <w:rPr>
          <w:rFonts w:ascii="Arial" w:hAnsi="Arial" w:cs="Arial"/>
          <w:szCs w:val="21"/>
        </w:rPr>
        <w:t>, Qi Zhou</w:t>
      </w:r>
      <w:r>
        <w:rPr>
          <w:rFonts w:ascii="Arial" w:hAnsi="Arial" w:cs="Arial"/>
          <w:szCs w:val="21"/>
          <w:vertAlign w:val="superscript"/>
        </w:rPr>
        <w:t>1,3,8,9#</w:t>
      </w:r>
      <w:r>
        <w:rPr>
          <w:rFonts w:ascii="Arial" w:hAnsi="Arial" w:cs="Arial"/>
          <w:szCs w:val="21"/>
        </w:rPr>
        <w:t>, Li Li</w:t>
      </w:r>
      <w:r>
        <w:rPr>
          <w:rFonts w:ascii="Arial" w:hAnsi="Arial" w:cs="Arial"/>
          <w:szCs w:val="21"/>
          <w:vertAlign w:val="superscript"/>
        </w:rPr>
        <w:t>1#</w:t>
      </w:r>
    </w:p>
    <w:p w14:paraId="2A314C65" w14:textId="77777777" w:rsidR="00607F3E" w:rsidRDefault="0044051A">
      <w:pPr>
        <w:adjustRightInd w:val="0"/>
        <w:snapToGrid w:val="0"/>
        <w:spacing w:beforeLines="100" w:before="312"/>
        <w:ind w:left="90" w:hangingChars="5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Department of Gynecologic Oncology, Affiliated Tumor Hospital of Guangxi Medical University, Nanning 530021, Guangxi, </w:t>
      </w:r>
      <w:r>
        <w:rPr>
          <w:rFonts w:ascii="Arial" w:hAnsi="Arial" w:cs="Arial"/>
          <w:bCs/>
          <w:sz w:val="18"/>
          <w:szCs w:val="18"/>
        </w:rPr>
        <w:t xml:space="preserve">P.R. </w:t>
      </w:r>
      <w:r>
        <w:rPr>
          <w:rFonts w:ascii="Arial" w:hAnsi="Arial" w:cs="Arial"/>
          <w:sz w:val="18"/>
          <w:szCs w:val="18"/>
        </w:rPr>
        <w:t>China.</w:t>
      </w:r>
    </w:p>
    <w:p w14:paraId="404C8640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Breast cancer center, 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Chongqing University Cancer Hospital &amp; Chongqing Cancer Institute &amp; Chongqing Cancer Hospital, Chongqing 400030, Chongqing, </w:t>
      </w:r>
      <w:r>
        <w:rPr>
          <w:rFonts w:ascii="Arial" w:hAnsi="Arial" w:cs="Arial"/>
          <w:bCs/>
          <w:sz w:val="18"/>
          <w:szCs w:val="18"/>
        </w:rPr>
        <w:t xml:space="preserve">P.R. </w:t>
      </w:r>
      <w:r>
        <w:rPr>
          <w:rFonts w:ascii="Arial" w:eastAsia="FZFSK--GBK1-0" w:hAnsi="Arial" w:cs="Arial"/>
          <w:kern w:val="0"/>
          <w:sz w:val="18"/>
          <w:szCs w:val="18"/>
        </w:rPr>
        <w:t>China.</w:t>
      </w:r>
    </w:p>
    <w:p w14:paraId="52C70AA2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Department of Gynecologic Oncology, 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Chongqing University Cancer Hospital &amp; Chongqing Cancer Institute &amp; Chongqing Cancer Hospital, Chongqing 400030, Chongqing, </w:t>
      </w:r>
      <w:r>
        <w:rPr>
          <w:rFonts w:ascii="Arial" w:hAnsi="Arial" w:cs="Arial"/>
          <w:bCs/>
          <w:sz w:val="18"/>
          <w:szCs w:val="18"/>
        </w:rPr>
        <w:t xml:space="preserve">P.R. </w:t>
      </w:r>
      <w:r>
        <w:rPr>
          <w:rFonts w:ascii="Arial" w:eastAsia="FZFSK--GBK1-0" w:hAnsi="Arial" w:cs="Arial"/>
          <w:kern w:val="0"/>
          <w:sz w:val="18"/>
          <w:szCs w:val="18"/>
        </w:rPr>
        <w:t>China.</w:t>
      </w:r>
    </w:p>
    <w:p w14:paraId="38EFCA56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eastAsia="FZFSK--GBK1-0" w:hAnsi="Arial" w:cs="Arial"/>
          <w:kern w:val="0"/>
          <w:sz w:val="18"/>
          <w:szCs w:val="18"/>
          <w:vertAlign w:val="superscript"/>
        </w:rPr>
        <w:t>4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Singapore Eye Research Institute, The academia, 20 College Road, Discovery Tower Level 6, Singapore, 169856, Singapore. </w:t>
      </w:r>
    </w:p>
    <w:p w14:paraId="623204C8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eastAsia="FZFSK--GBK1-0" w:hAnsi="Arial" w:cs="Arial"/>
          <w:kern w:val="0"/>
          <w:sz w:val="18"/>
          <w:szCs w:val="18"/>
          <w:vertAlign w:val="superscript"/>
        </w:rPr>
        <w:t>5</w:t>
      </w:r>
      <w:r>
        <w:rPr>
          <w:rFonts w:ascii="Arial" w:eastAsia="FZFSK--GBK1-0" w:hAnsi="Arial" w:cs="Arial"/>
          <w:kern w:val="0"/>
          <w:sz w:val="18"/>
          <w:szCs w:val="18"/>
        </w:rPr>
        <w:t>Department of Ophthalmology, Yong Loo Lin School of Medicine, National University of Singapore, 1E Kent Ridge Road, NUHS Tower Block Level 7, Singapore, 119228, Singapore.</w:t>
      </w:r>
    </w:p>
    <w:p w14:paraId="33EE47B2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eastAsia="FZFSK--GBK1-0" w:hAnsi="Arial" w:cs="Arial"/>
          <w:kern w:val="0"/>
          <w:sz w:val="18"/>
          <w:szCs w:val="18"/>
          <w:vertAlign w:val="superscript"/>
        </w:rPr>
        <w:t>6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Ophthalmology and Visual Sciences Academic Clinical Research Program, Duke-NUS Medical School, 8 college Road, Singapore, 169867, Singapore. </w:t>
      </w:r>
    </w:p>
    <w:p w14:paraId="574145BD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7</w:t>
      </w:r>
      <w:r>
        <w:rPr>
          <w:rFonts w:ascii="Arial" w:hAnsi="Arial" w:cs="Arial"/>
          <w:bCs/>
          <w:sz w:val="18"/>
          <w:szCs w:val="18"/>
        </w:rPr>
        <w:t>Bioengineering College of Chongqing University, Chongqing University, Chongqing 400030, Chongqing, P.R. China</w:t>
      </w:r>
    </w:p>
    <w:p w14:paraId="7E1D47D6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Chongqing Key Laboratory of Translational Research for Cancer Metastasis and Individualized Treatment, 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Chongqing University Cancer Hospital &amp; Chongqing Cancer Institute &amp; Chongqing Cancer Hospital, Chongqing 400030, Chongqing, </w:t>
      </w:r>
      <w:r>
        <w:rPr>
          <w:rFonts w:ascii="Arial" w:hAnsi="Arial" w:cs="Arial"/>
          <w:bCs/>
          <w:sz w:val="18"/>
          <w:szCs w:val="18"/>
        </w:rPr>
        <w:t xml:space="preserve">P.R. </w:t>
      </w:r>
      <w:r>
        <w:rPr>
          <w:rFonts w:ascii="Arial" w:eastAsia="FZFSK--GBK1-0" w:hAnsi="Arial" w:cs="Arial"/>
          <w:kern w:val="0"/>
          <w:sz w:val="18"/>
          <w:szCs w:val="18"/>
        </w:rPr>
        <w:t>China.</w:t>
      </w:r>
    </w:p>
    <w:p w14:paraId="4459D753" w14:textId="77777777" w:rsidR="00607F3E" w:rsidRDefault="0044051A">
      <w:pPr>
        <w:autoSpaceDE w:val="0"/>
        <w:autoSpaceDN w:val="0"/>
        <w:adjustRightInd w:val="0"/>
        <w:snapToGrid w:val="0"/>
        <w:ind w:left="90" w:hangingChars="50" w:hanging="90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Key Laboratory for </w:t>
      </w:r>
      <w:bookmarkStart w:id="0" w:name="OLE_LINK2"/>
      <w:bookmarkStart w:id="1" w:name="OLE_LINK1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Biorheological</w:t>
      </w:r>
      <w:bookmarkEnd w:id="0"/>
      <w:bookmarkEnd w:id="1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Science and Technology of Ministry of Education (Chongqing University), </w:t>
      </w:r>
      <w:r>
        <w:rPr>
          <w:rFonts w:ascii="Arial" w:eastAsia="FZFSK--GBK1-0" w:hAnsi="Arial" w:cs="Arial"/>
          <w:kern w:val="0"/>
          <w:sz w:val="18"/>
          <w:szCs w:val="18"/>
        </w:rPr>
        <w:t xml:space="preserve">Chongqing University Cancer Hospital &amp; Chongqing Cancer Institute &amp; Chongqing Cancer Hospital, Chongqing 400030, Chongqing, </w:t>
      </w:r>
      <w:r>
        <w:rPr>
          <w:rFonts w:ascii="Arial" w:hAnsi="Arial" w:cs="Arial"/>
          <w:bCs/>
          <w:sz w:val="18"/>
          <w:szCs w:val="18"/>
        </w:rPr>
        <w:t xml:space="preserve">P.R. </w:t>
      </w:r>
      <w:r>
        <w:rPr>
          <w:rFonts w:ascii="Arial" w:eastAsia="FZFSK--GBK1-0" w:hAnsi="Arial" w:cs="Arial"/>
          <w:kern w:val="0"/>
          <w:sz w:val="18"/>
          <w:szCs w:val="18"/>
        </w:rPr>
        <w:t>China.</w:t>
      </w:r>
    </w:p>
    <w:p w14:paraId="45A66B49" w14:textId="77777777" w:rsidR="00607F3E" w:rsidRDefault="0044051A">
      <w:pPr>
        <w:autoSpaceDE w:val="0"/>
        <w:autoSpaceDN w:val="0"/>
        <w:adjustRightInd w:val="0"/>
        <w:snapToGrid w:val="0"/>
        <w:spacing w:beforeLines="100" w:before="312" w:line="360" w:lineRule="auto"/>
        <w:rPr>
          <w:rFonts w:ascii="Arial" w:eastAsia="FZFSK--GBK1-0" w:hAnsi="Arial" w:cs="Arial"/>
          <w:kern w:val="0"/>
          <w:sz w:val="18"/>
          <w:szCs w:val="18"/>
        </w:rPr>
      </w:pPr>
      <w:r>
        <w:rPr>
          <w:rFonts w:ascii="Arial" w:eastAsia="FZFSK--GBK1-0" w:hAnsi="Arial" w:cs="Arial"/>
          <w:kern w:val="0"/>
          <w:sz w:val="18"/>
          <w:szCs w:val="18"/>
        </w:rPr>
        <w:t>*These authors contributed equally to this work</w:t>
      </w:r>
    </w:p>
    <w:p w14:paraId="1C6EAB16" w14:textId="77777777" w:rsidR="00607F3E" w:rsidRDefault="0044051A">
      <w:pPr>
        <w:autoSpaceDE w:val="0"/>
        <w:autoSpaceDN w:val="0"/>
        <w:adjustRightInd w:val="0"/>
        <w:snapToGrid w:val="0"/>
        <w:spacing w:beforeLines="100" w:before="312"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Correspondence: Li Li and Qi Zhou</w:t>
      </w:r>
    </w:p>
    <w:p w14:paraId="5CA61D1E" w14:textId="77777777" w:rsidR="00607F3E" w:rsidRDefault="0044051A">
      <w:pPr>
        <w:autoSpaceDE w:val="0"/>
        <w:autoSpaceDN w:val="0"/>
        <w:adjustRightInd w:val="0"/>
        <w:snapToGrid w:val="0"/>
        <w:spacing w:beforeLines="100" w:before="312"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 Li</w:t>
      </w:r>
    </w:p>
    <w:p w14:paraId="6BB7F597" w14:textId="77777777" w:rsidR="00607F3E" w:rsidRDefault="0044051A">
      <w:pPr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Department of Gynecologic Oncology, Affiliated Tumor Hospital of GuangXi Medical University, Nanning 530021, Guangxi, China. Email: </w:t>
      </w:r>
      <w:hyperlink r:id="rId7" w:history="1">
        <w:r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lili5310430@163.com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0B559F10" w14:textId="77777777" w:rsidR="00607F3E" w:rsidRDefault="0044051A">
      <w:pPr>
        <w:autoSpaceDE w:val="0"/>
        <w:autoSpaceDN w:val="0"/>
        <w:adjustRightInd w:val="0"/>
        <w:snapToGrid w:val="0"/>
        <w:spacing w:beforeLines="100" w:before="312"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Qi Zhou</w:t>
      </w:r>
    </w:p>
    <w:p w14:paraId="6EC3F05E" w14:textId="77777777" w:rsidR="00607F3E" w:rsidRDefault="0044051A">
      <w:pPr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Department of Gynecologic Oncology, Chongqing University Cancer Hospital &amp; Chongqing Cancer Institute &amp; Chongqing Cancer Hospital, Chongqing 400030, Chongqing, China. Email: </w:t>
      </w:r>
      <w:hyperlink r:id="rId8" w:history="1">
        <w:r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cqzl_zq@163.com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6DE931E5" w14:textId="77777777" w:rsidR="00607F3E" w:rsidRDefault="00607F3E">
      <w:pPr>
        <w:adjustRightInd w:val="0"/>
        <w:snapToGrid w:val="0"/>
        <w:spacing w:beforeLines="100" w:before="312" w:line="360" w:lineRule="auto"/>
        <w:rPr>
          <w:rFonts w:ascii="Arial" w:hAnsi="Arial" w:cs="Arial"/>
        </w:rPr>
      </w:pPr>
    </w:p>
    <w:p w14:paraId="262BFFD3" w14:textId="77777777" w:rsidR="00607F3E" w:rsidRDefault="00607F3E">
      <w:pPr>
        <w:adjustRightInd w:val="0"/>
        <w:snapToGrid w:val="0"/>
        <w:spacing w:beforeLines="100" w:before="312" w:line="360" w:lineRule="auto"/>
        <w:rPr>
          <w:rFonts w:ascii="Arial" w:hAnsi="Arial" w:cs="Arial"/>
        </w:rPr>
      </w:pPr>
    </w:p>
    <w:p w14:paraId="01020F35" w14:textId="77777777" w:rsidR="00607F3E" w:rsidRDefault="00607F3E">
      <w:pPr>
        <w:adjustRightInd w:val="0"/>
        <w:snapToGrid w:val="0"/>
        <w:spacing w:beforeLines="100" w:before="312" w:line="360" w:lineRule="auto"/>
        <w:rPr>
          <w:rFonts w:ascii="Arial" w:hAnsi="Arial" w:cs="Arial"/>
        </w:rPr>
      </w:pPr>
    </w:p>
    <w:p w14:paraId="470E17A8" w14:textId="77777777" w:rsidR="00607F3E" w:rsidRDefault="00607F3E">
      <w:pPr>
        <w:adjustRightInd w:val="0"/>
        <w:snapToGrid w:val="0"/>
        <w:rPr>
          <w:rFonts w:ascii="Arial" w:hAnsi="Arial" w:cs="Arial"/>
          <w:b/>
          <w:bCs/>
        </w:rPr>
      </w:pPr>
    </w:p>
    <w:p w14:paraId="02AE52BD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lastRenderedPageBreak/>
        <w:t>M</w:t>
      </w:r>
      <w:r>
        <w:rPr>
          <w:rFonts w:ascii="Arial" w:hAnsi="Arial" w:cs="Arial"/>
          <w:b/>
          <w:bCs/>
        </w:rPr>
        <w:t>ethod details:</w:t>
      </w:r>
    </w:p>
    <w:p w14:paraId="74A8DF45" w14:textId="77777777" w:rsidR="00607F3E" w:rsidRDefault="00607F3E">
      <w:pPr>
        <w:adjustRightInd w:val="0"/>
        <w:snapToGrid w:val="0"/>
        <w:rPr>
          <w:rFonts w:ascii="Arial" w:hAnsi="Arial" w:cs="Arial"/>
          <w:b/>
          <w:bCs/>
        </w:rPr>
      </w:pPr>
    </w:p>
    <w:p w14:paraId="0D8A4645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P</w:t>
      </w:r>
      <w:r>
        <w:rPr>
          <w:rFonts w:ascii="Arial" w:hAnsi="Arial" w:cs="Arial"/>
          <w:b/>
          <w:bCs/>
        </w:rPr>
        <w:t>rimers:</w:t>
      </w:r>
    </w:p>
    <w:p w14:paraId="0CB6745A" w14:textId="77777777" w:rsidR="00607F3E" w:rsidRDefault="00607F3E">
      <w:pPr>
        <w:adjustRightInd w:val="0"/>
        <w:snapToGrid w:val="0"/>
        <w:rPr>
          <w:rFonts w:ascii="Arial" w:hAnsi="Arial" w:cs="Arial"/>
          <w:b/>
          <w:bCs/>
        </w:rPr>
      </w:pPr>
    </w:p>
    <w:p w14:paraId="4E9A4569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LATS2 cloning: </w:t>
      </w:r>
    </w:p>
    <w:p w14:paraId="0F65A723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F: 5’-CCAAAGACTTTTCCTGCCAC-3’</w:t>
      </w:r>
    </w:p>
    <w:p w14:paraId="49C9A2F6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5’-GTGGCAGGAAAAGTCTTTGG-3’</w:t>
      </w:r>
    </w:p>
    <w:p w14:paraId="577D8883" w14:textId="77777777" w:rsidR="00607F3E" w:rsidRDefault="00607F3E">
      <w:pPr>
        <w:adjustRightInd w:val="0"/>
        <w:snapToGrid w:val="0"/>
        <w:rPr>
          <w:rFonts w:ascii="Arial" w:hAnsi="Arial" w:cs="Arial"/>
          <w:b/>
          <w:bCs/>
        </w:rPr>
      </w:pPr>
    </w:p>
    <w:p w14:paraId="05EAFEEE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F</w:t>
      </w:r>
      <w:r>
        <w:rPr>
          <w:rFonts w:ascii="Arial" w:hAnsi="Arial" w:cs="Arial"/>
          <w:b/>
          <w:bCs/>
        </w:rPr>
        <w:t>or qRT-PCR:</w:t>
      </w:r>
    </w:p>
    <w:p w14:paraId="2342B52C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512D221D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D44: </w:t>
      </w:r>
    </w:p>
    <w:p w14:paraId="4B82972A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5’-CTGCCGCTTTGCAGGTGTA-3’; </w:t>
      </w:r>
    </w:p>
    <w:p w14:paraId="6BEDFDEC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5’-CATTGTGGGCAAGGTGCTATT-3’</w:t>
      </w:r>
    </w:p>
    <w:p w14:paraId="24333482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5B7216BF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D133: </w:t>
      </w:r>
    </w:p>
    <w:p w14:paraId="42DF8E14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5’-AGTCGGAAACTGGCAGATAGC-3’; </w:t>
      </w:r>
    </w:p>
    <w:p w14:paraId="155A764D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5’-GGTAGTGTTGTACTGGGCCAAT-3’</w:t>
      </w:r>
    </w:p>
    <w:p w14:paraId="4A792411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24696D94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ALDH1</w:t>
      </w:r>
      <w:r>
        <w:rPr>
          <w:rFonts w:ascii="Arial" w:hAnsi="Arial" w:cs="Arial" w:hint="eastAsia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B9D9297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5’-CCGTGGCGTACTATGGATGC-3’; </w:t>
      </w:r>
    </w:p>
    <w:p w14:paraId="670DA42A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5’-GCAGCAGACGATCTCTTTCGAT-3’</w:t>
      </w:r>
    </w:p>
    <w:p w14:paraId="115FBC19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20BFC095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TGF: </w:t>
      </w:r>
    </w:p>
    <w:p w14:paraId="774BE220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5’-AAAAGTGCATCCGTACTCCCA-3’; </w:t>
      </w:r>
    </w:p>
    <w:p w14:paraId="352EE933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5’-CCGTCGGTACATACTCCACAG-3’</w:t>
      </w:r>
    </w:p>
    <w:p w14:paraId="63B521DE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36E12168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REG: </w:t>
      </w:r>
    </w:p>
    <w:p w14:paraId="75CB71DD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5’-GTGGTGCTGTCGCTCTTGATA-3’; </w:t>
      </w:r>
    </w:p>
    <w:p w14:paraId="18DC1862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5’-CCCCAGAAAATGGTTCACGCT-3’</w:t>
      </w:r>
    </w:p>
    <w:p w14:paraId="4EA02D0F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71ED80E6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-cadherin: </w:t>
      </w:r>
    </w:p>
    <w:p w14:paraId="3F76D956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5’-AGCCAACCTTAACTGAGGAGT-3’; </w:t>
      </w:r>
    </w:p>
    <w:p w14:paraId="4D7C93BB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5’-GGCAAGTTGATTGGAGGGATG-3’</w:t>
      </w:r>
    </w:p>
    <w:p w14:paraId="3F3C3E75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0534D9F6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imentin: </w:t>
      </w:r>
    </w:p>
    <w:p w14:paraId="579A6278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F: 5’-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TGCCGTTGAAGCTGCTAACTA -3’; </w:t>
      </w:r>
    </w:p>
    <w:p w14:paraId="58C086F6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 CCAGAGGGAGTGAATCCAGATTA -3’</w:t>
      </w:r>
    </w:p>
    <w:p w14:paraId="6D065E63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285FDFB2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nail1: </w:t>
      </w:r>
    </w:p>
    <w:p w14:paraId="01158084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5’-TCGGAAGCCTAACTACAGCGA-3’; </w:t>
      </w:r>
    </w:p>
    <w:p w14:paraId="30EFFB0E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5’-AGATGAGCATTGGCAGCGAG-3’</w:t>
      </w:r>
    </w:p>
    <w:p w14:paraId="017F1D49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0493264B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EB1: </w:t>
      </w:r>
    </w:p>
    <w:p w14:paraId="1C30BFE3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5’-TTACACCTTTGCATACAGAACCC-3’; </w:t>
      </w:r>
    </w:p>
    <w:p w14:paraId="153E2A60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5’-TTTACGATTACACCCAGACTGC-3’</w:t>
      </w:r>
    </w:p>
    <w:p w14:paraId="0CEC5894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620EE5FA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-cadherin: </w:t>
      </w:r>
    </w:p>
    <w:p w14:paraId="70999B35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5’-ATTTTTCCCTCGACACCCGAT-3’; </w:t>
      </w:r>
    </w:p>
    <w:p w14:paraId="4FE435F7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5’-TCCCAGGCGTAGACCAAGA-3’</w:t>
      </w:r>
    </w:p>
    <w:p w14:paraId="00F72C5C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256D80EB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O-1: </w:t>
      </w:r>
    </w:p>
    <w:p w14:paraId="74F77363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5’-CAACATACAGTGACGCTTCACA-3’; </w:t>
      </w:r>
    </w:p>
    <w:p w14:paraId="54129543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5’-CACTATTGACGTTTCCCCACTC-3’</w:t>
      </w:r>
    </w:p>
    <w:p w14:paraId="67F509F9" w14:textId="77777777" w:rsidR="00607F3E" w:rsidRDefault="00607F3E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3E8C7F1B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APDH: </w:t>
      </w:r>
    </w:p>
    <w:p w14:paraId="2EF50CFF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</w:t>
      </w:r>
      <w:bookmarkStart w:id="2" w:name="_Hlk23109032"/>
      <w:r>
        <w:rPr>
          <w:rFonts w:ascii="Arial" w:hAnsi="Arial" w:cs="Arial"/>
          <w:sz w:val="18"/>
          <w:szCs w:val="18"/>
        </w:rPr>
        <w:t>5’-</w:t>
      </w:r>
      <w:bookmarkEnd w:id="2"/>
      <w:r>
        <w:rPr>
          <w:rFonts w:ascii="Arial" w:hAnsi="Arial" w:cs="Arial"/>
          <w:sz w:val="18"/>
          <w:szCs w:val="18"/>
        </w:rPr>
        <w:t xml:space="preserve">ACAACTTTGGTATCGTGGAAGG-3’; </w:t>
      </w:r>
    </w:p>
    <w:p w14:paraId="0A00527B" w14:textId="77777777" w:rsidR="00607F3E" w:rsidRDefault="0044051A">
      <w:pPr>
        <w:kinsoku w:val="0"/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5’-GCCATCACGCCACAGTTTC-3’</w:t>
      </w:r>
    </w:p>
    <w:p w14:paraId="4968E2DE" w14:textId="77777777" w:rsidR="00607F3E" w:rsidRDefault="00607F3E">
      <w:pPr>
        <w:adjustRightInd w:val="0"/>
        <w:snapToGrid w:val="0"/>
        <w:rPr>
          <w:rFonts w:ascii="Arial" w:hAnsi="Arial" w:cs="Arial"/>
          <w:sz w:val="18"/>
          <w:szCs w:val="18"/>
        </w:rPr>
      </w:pPr>
    </w:p>
    <w:p w14:paraId="57D4429A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miR-520b:</w:t>
      </w:r>
      <w:r>
        <w:rPr>
          <w:rFonts w:ascii="Arial" w:hAnsi="Arial" w:cs="Arial" w:hint="eastAsia"/>
          <w:sz w:val="18"/>
          <w:szCs w:val="18"/>
        </w:rPr>
        <w:t xml:space="preserve"> </w:t>
      </w:r>
    </w:p>
    <w:p w14:paraId="050BF3A0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F: 5’- </w:t>
      </w:r>
      <w:r>
        <w:rPr>
          <w:rFonts w:ascii="Arial" w:hAnsi="Arial" w:cs="Arial" w:hint="eastAsia"/>
          <w:sz w:val="18"/>
          <w:szCs w:val="18"/>
        </w:rPr>
        <w:t>AAAGTGCTTCCTTTTAGAGGG</w:t>
      </w:r>
      <w:r>
        <w:rPr>
          <w:rFonts w:ascii="Arial" w:hAnsi="Arial" w:cs="Arial"/>
          <w:sz w:val="18"/>
          <w:szCs w:val="18"/>
        </w:rPr>
        <w:t>-3’</w:t>
      </w:r>
      <w:r>
        <w:rPr>
          <w:rFonts w:ascii="Arial" w:hAnsi="Arial" w:cs="Arial" w:hint="eastAsia"/>
          <w:sz w:val="18"/>
          <w:szCs w:val="18"/>
        </w:rPr>
        <w:t xml:space="preserve"> </w:t>
      </w:r>
    </w:p>
    <w:p w14:paraId="368E0742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: 5’-</w:t>
      </w:r>
      <w:r>
        <w:rPr>
          <w:rFonts w:ascii="Arial" w:hAnsi="Arial" w:cs="Arial" w:hint="eastAsia"/>
          <w:sz w:val="18"/>
          <w:szCs w:val="18"/>
        </w:rPr>
        <w:t>CAGTGCGTGTCGTGGAGT</w:t>
      </w:r>
      <w:r>
        <w:rPr>
          <w:rFonts w:ascii="Arial" w:hAnsi="Arial" w:cs="Arial"/>
          <w:sz w:val="18"/>
          <w:szCs w:val="18"/>
        </w:rPr>
        <w:t>-3’</w:t>
      </w:r>
    </w:p>
    <w:p w14:paraId="01B9496B" w14:textId="77777777" w:rsidR="00607F3E" w:rsidRDefault="00607F3E">
      <w:pPr>
        <w:adjustRightInd w:val="0"/>
        <w:snapToGrid w:val="0"/>
        <w:rPr>
          <w:rFonts w:ascii="Arial" w:hAnsi="Arial" w:cs="Arial"/>
          <w:b/>
          <w:bCs/>
        </w:rPr>
      </w:pPr>
    </w:p>
    <w:p w14:paraId="3C424A90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A</w:t>
      </w:r>
      <w:r>
        <w:rPr>
          <w:rFonts w:ascii="Arial" w:hAnsi="Arial" w:cs="Arial"/>
          <w:b/>
          <w:bCs/>
        </w:rPr>
        <w:t>ntibodies:</w:t>
      </w:r>
    </w:p>
    <w:p w14:paraId="56335519" w14:textId="77777777" w:rsidR="00607F3E" w:rsidRDefault="0044051A">
      <w:pPr>
        <w:adjustRightInd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Anti-LATS2 (CST, #5888, 1:1000); Anti-YAP (CST, #14074, 1:1000); Anti-phosphorylated YAP(Abcam, ab76252, 1:10000); Anti-CD44(CST, #37259, 1:1000); Anti-E-cadherin(CST, #3195, 1:1000); Anti-N-</w:t>
      </w:r>
      <w:r>
        <w:rPr>
          <w:rFonts w:ascii="Arial" w:hAnsi="Arial" w:cs="Arial"/>
          <w:sz w:val="18"/>
          <w:szCs w:val="18"/>
        </w:rPr>
        <w:lastRenderedPageBreak/>
        <w:t>cadherin(CST, #13116, 1:1000); Anti-Snail1(CST, #3879, 1:1000); Anti-β-actin(CST, #4970, 1000);  Anti-rabbit IgG, HRP-linked Antibody (CST, #7074, 1000).</w:t>
      </w:r>
    </w:p>
    <w:p w14:paraId="0A548850" w14:textId="77777777" w:rsidR="00607F3E" w:rsidRDefault="00607F3E">
      <w:pPr>
        <w:adjustRightInd w:val="0"/>
        <w:snapToGrid w:val="0"/>
        <w:rPr>
          <w:rFonts w:ascii="Arial" w:hAnsi="Arial" w:cs="Arial"/>
        </w:rPr>
      </w:pPr>
    </w:p>
    <w:p w14:paraId="67FE0B93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Clinical information of patients used in this study</w:t>
      </w:r>
    </w:p>
    <w:p w14:paraId="180EEE2E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Cs w:val="21"/>
        </w:rPr>
        <w:t xml:space="preserve">The clinical information of TCGA data and GEO data can be downloaded from </w:t>
      </w:r>
      <w:r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  <w:t>data portal of Genomic Data Commons (GDC, https://gdc-portal.nci.nih.gov/legacy-archive/) and https://www.ncbi.nlm.nih.gov/geo/query/acc.cgi?acc=GSE57897</w:t>
      </w:r>
      <w:r>
        <w:rPr>
          <w:rFonts w:ascii="Arial" w:eastAsia="宋体" w:hAnsi="Arial" w:cs="Arial" w:hint="eastAsia"/>
          <w:color w:val="000000" w:themeColor="text1"/>
          <w:szCs w:val="21"/>
          <w:shd w:val="clear" w:color="auto" w:fill="FFFFFF"/>
        </w:rPr>
        <w:t xml:space="preserve">. </w:t>
      </w:r>
    </w:p>
    <w:p w14:paraId="0FD42425" w14:textId="21D89AEB" w:rsidR="00607F3E" w:rsidRDefault="0044051A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b/>
          <w:bCs/>
          <w:color w:val="000000" w:themeColor="text1"/>
          <w:szCs w:val="21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 w:themeColor="text1"/>
          <w:szCs w:val="21"/>
          <w:shd w:val="clear" w:color="auto" w:fill="FFFFFF"/>
        </w:rPr>
        <w:t xml:space="preserve">Supplementary </w:t>
      </w:r>
      <w:r w:rsidR="003B0E3A">
        <w:rPr>
          <w:rFonts w:ascii="Arial" w:eastAsia="宋体" w:hAnsi="Arial" w:cs="Arial"/>
          <w:b/>
          <w:bCs/>
          <w:color w:val="000000" w:themeColor="text1"/>
          <w:szCs w:val="21"/>
          <w:shd w:val="clear" w:color="auto" w:fill="FFFFFF"/>
        </w:rPr>
        <w:t xml:space="preserve">Table </w:t>
      </w:r>
      <w:bookmarkStart w:id="3" w:name="_GoBack"/>
      <w:bookmarkEnd w:id="3"/>
      <w:r>
        <w:rPr>
          <w:rFonts w:ascii="Arial" w:eastAsia="宋体" w:hAnsi="Arial" w:cs="Arial" w:hint="eastAsia"/>
          <w:b/>
          <w:bCs/>
          <w:color w:val="000000" w:themeColor="text1"/>
          <w:szCs w:val="21"/>
          <w:shd w:val="clear" w:color="auto" w:fill="FFFFFF"/>
        </w:rPr>
        <w:t xml:space="preserve">1. The clinical information of patients related to Figure 1E. 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754"/>
        <w:gridCol w:w="2442"/>
      </w:tblGrid>
      <w:tr w:rsidR="003919FB" w:rsidRPr="00877A7E" w14:paraId="27954B7E" w14:textId="77777777" w:rsidTr="00C23A0F">
        <w:trPr>
          <w:trHeight w:val="293"/>
        </w:trPr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36547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Characteristics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52582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Patients(n=25)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0BC51A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%</w:t>
            </w:r>
          </w:p>
        </w:tc>
      </w:tr>
      <w:tr w:rsidR="003919FB" w:rsidRPr="00877A7E" w14:paraId="61F261AE" w14:textId="77777777" w:rsidTr="00C23A0F">
        <w:trPr>
          <w:trHeight w:val="293"/>
        </w:trPr>
        <w:tc>
          <w:tcPr>
            <w:tcW w:w="3131" w:type="dxa"/>
            <w:tcBorders>
              <w:top w:val="single" w:sz="4" w:space="0" w:color="auto"/>
            </w:tcBorders>
            <w:noWrap/>
            <w:hideMark/>
          </w:tcPr>
          <w:p w14:paraId="257DDA78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Age(31-63)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68330230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noWrap/>
            <w:hideMark/>
          </w:tcPr>
          <w:p w14:paraId="07E7C80D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919FB" w:rsidRPr="00877A7E" w14:paraId="77D76745" w14:textId="77777777" w:rsidTr="00C23A0F">
        <w:trPr>
          <w:trHeight w:val="293"/>
        </w:trPr>
        <w:tc>
          <w:tcPr>
            <w:tcW w:w="3131" w:type="dxa"/>
            <w:noWrap/>
            <w:hideMark/>
          </w:tcPr>
          <w:p w14:paraId="2A9A2A93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≤35</w:t>
            </w:r>
          </w:p>
        </w:tc>
        <w:tc>
          <w:tcPr>
            <w:tcW w:w="1754" w:type="dxa"/>
            <w:noWrap/>
            <w:hideMark/>
          </w:tcPr>
          <w:p w14:paraId="7760257C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442" w:type="dxa"/>
            <w:noWrap/>
            <w:hideMark/>
          </w:tcPr>
          <w:p w14:paraId="3E8B0F5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12.0</w:t>
            </w:r>
          </w:p>
        </w:tc>
      </w:tr>
      <w:tr w:rsidR="003919FB" w:rsidRPr="00877A7E" w14:paraId="710A31B6" w14:textId="77777777" w:rsidTr="00C23A0F">
        <w:trPr>
          <w:trHeight w:val="293"/>
        </w:trPr>
        <w:tc>
          <w:tcPr>
            <w:tcW w:w="3131" w:type="dxa"/>
            <w:tcBorders>
              <w:bottom w:val="nil"/>
            </w:tcBorders>
            <w:noWrap/>
            <w:hideMark/>
          </w:tcPr>
          <w:p w14:paraId="1DA1C1E6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35-55</w:t>
            </w:r>
          </w:p>
        </w:tc>
        <w:tc>
          <w:tcPr>
            <w:tcW w:w="1754" w:type="dxa"/>
            <w:tcBorders>
              <w:bottom w:val="nil"/>
            </w:tcBorders>
            <w:noWrap/>
            <w:hideMark/>
          </w:tcPr>
          <w:p w14:paraId="61984388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18</w:t>
            </w:r>
          </w:p>
        </w:tc>
        <w:tc>
          <w:tcPr>
            <w:tcW w:w="2442" w:type="dxa"/>
            <w:tcBorders>
              <w:bottom w:val="nil"/>
            </w:tcBorders>
            <w:noWrap/>
            <w:hideMark/>
          </w:tcPr>
          <w:p w14:paraId="2963B457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72.0</w:t>
            </w:r>
          </w:p>
        </w:tc>
      </w:tr>
      <w:tr w:rsidR="003919FB" w:rsidRPr="00877A7E" w14:paraId="618387C2" w14:textId="77777777" w:rsidTr="00C23A0F">
        <w:trPr>
          <w:trHeight w:val="293"/>
        </w:trPr>
        <w:tc>
          <w:tcPr>
            <w:tcW w:w="31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F221797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＞</w:t>
            </w:r>
            <w:r w:rsidRPr="00877A7E">
              <w:rPr>
                <w:rFonts w:ascii="Arial" w:hAnsi="Arial" w:cs="Arial"/>
                <w:szCs w:val="21"/>
              </w:rPr>
              <w:t>55</w:t>
            </w:r>
          </w:p>
        </w:tc>
        <w:tc>
          <w:tcPr>
            <w:tcW w:w="175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9EFDB17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44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1B4D607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16.0</w:t>
            </w:r>
          </w:p>
        </w:tc>
      </w:tr>
      <w:tr w:rsidR="003919FB" w:rsidRPr="00877A7E" w14:paraId="3D2F91C0" w14:textId="77777777" w:rsidTr="00C23A0F">
        <w:trPr>
          <w:trHeight w:val="293"/>
        </w:trPr>
        <w:tc>
          <w:tcPr>
            <w:tcW w:w="3131" w:type="dxa"/>
            <w:tcBorders>
              <w:top w:val="single" w:sz="4" w:space="0" w:color="auto"/>
            </w:tcBorders>
            <w:noWrap/>
            <w:hideMark/>
          </w:tcPr>
          <w:p w14:paraId="0DFC06AE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TNM Stage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noWrap/>
            <w:hideMark/>
          </w:tcPr>
          <w:p w14:paraId="1898F597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noWrap/>
            <w:hideMark/>
          </w:tcPr>
          <w:p w14:paraId="3F12540F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919FB" w:rsidRPr="00877A7E" w14:paraId="7DFAEF6F" w14:textId="77777777" w:rsidTr="00C23A0F">
        <w:trPr>
          <w:trHeight w:val="293"/>
        </w:trPr>
        <w:tc>
          <w:tcPr>
            <w:tcW w:w="3131" w:type="dxa"/>
            <w:noWrap/>
            <w:hideMark/>
          </w:tcPr>
          <w:p w14:paraId="64F74578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Ⅰ</w:t>
            </w:r>
          </w:p>
        </w:tc>
        <w:tc>
          <w:tcPr>
            <w:tcW w:w="1754" w:type="dxa"/>
            <w:noWrap/>
            <w:hideMark/>
          </w:tcPr>
          <w:p w14:paraId="7D30FACF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442" w:type="dxa"/>
            <w:noWrap/>
            <w:hideMark/>
          </w:tcPr>
          <w:p w14:paraId="5B12DED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12.0</w:t>
            </w:r>
          </w:p>
        </w:tc>
      </w:tr>
      <w:tr w:rsidR="003919FB" w:rsidRPr="00877A7E" w14:paraId="7C59659D" w14:textId="77777777" w:rsidTr="00C23A0F">
        <w:trPr>
          <w:trHeight w:val="293"/>
        </w:trPr>
        <w:tc>
          <w:tcPr>
            <w:tcW w:w="3131" w:type="dxa"/>
            <w:noWrap/>
          </w:tcPr>
          <w:p w14:paraId="1EC06AAA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Ⅱ</w:t>
            </w:r>
          </w:p>
        </w:tc>
        <w:tc>
          <w:tcPr>
            <w:tcW w:w="1754" w:type="dxa"/>
            <w:noWrap/>
          </w:tcPr>
          <w:p w14:paraId="56C8C09E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2442" w:type="dxa"/>
            <w:noWrap/>
          </w:tcPr>
          <w:p w14:paraId="6E924476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52.0</w:t>
            </w:r>
          </w:p>
        </w:tc>
      </w:tr>
      <w:tr w:rsidR="003919FB" w:rsidRPr="00877A7E" w14:paraId="0A59C309" w14:textId="77777777" w:rsidTr="00C23A0F">
        <w:trPr>
          <w:trHeight w:val="293"/>
        </w:trPr>
        <w:tc>
          <w:tcPr>
            <w:tcW w:w="3131" w:type="dxa"/>
            <w:tcBorders>
              <w:bottom w:val="nil"/>
            </w:tcBorders>
            <w:noWrap/>
            <w:hideMark/>
          </w:tcPr>
          <w:p w14:paraId="0C9C36E4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Ⅲ</w:t>
            </w:r>
          </w:p>
        </w:tc>
        <w:tc>
          <w:tcPr>
            <w:tcW w:w="1754" w:type="dxa"/>
            <w:tcBorders>
              <w:bottom w:val="nil"/>
            </w:tcBorders>
            <w:noWrap/>
            <w:hideMark/>
          </w:tcPr>
          <w:p w14:paraId="5FF2903C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442" w:type="dxa"/>
            <w:tcBorders>
              <w:bottom w:val="nil"/>
            </w:tcBorders>
            <w:noWrap/>
            <w:hideMark/>
          </w:tcPr>
          <w:p w14:paraId="77942B9B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28.0</w:t>
            </w:r>
          </w:p>
        </w:tc>
      </w:tr>
      <w:tr w:rsidR="003919FB" w:rsidRPr="00877A7E" w14:paraId="32E28527" w14:textId="77777777" w:rsidTr="00C23A0F">
        <w:trPr>
          <w:trHeight w:val="293"/>
        </w:trPr>
        <w:tc>
          <w:tcPr>
            <w:tcW w:w="31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09BEF23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Ⅳ</w:t>
            </w:r>
          </w:p>
        </w:tc>
        <w:tc>
          <w:tcPr>
            <w:tcW w:w="175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931D466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44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7AE4038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8.0</w:t>
            </w:r>
          </w:p>
        </w:tc>
      </w:tr>
      <w:tr w:rsidR="003919FB" w:rsidRPr="00877A7E" w14:paraId="79D07962" w14:textId="77777777" w:rsidTr="00C23A0F">
        <w:trPr>
          <w:trHeight w:val="293"/>
        </w:trPr>
        <w:tc>
          <w:tcPr>
            <w:tcW w:w="3131" w:type="dxa"/>
            <w:tcBorders>
              <w:top w:val="single" w:sz="4" w:space="0" w:color="auto"/>
            </w:tcBorders>
            <w:noWrap/>
            <w:hideMark/>
          </w:tcPr>
          <w:p w14:paraId="371AF6B8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877A7E">
              <w:rPr>
                <w:rFonts w:ascii="Arial" w:hAnsi="Arial" w:cs="Arial"/>
                <w:b/>
                <w:szCs w:val="21"/>
              </w:rPr>
              <w:t>Tumor Type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noWrap/>
            <w:hideMark/>
          </w:tcPr>
          <w:p w14:paraId="2077CA9C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noWrap/>
            <w:hideMark/>
          </w:tcPr>
          <w:p w14:paraId="2EA48D60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919FB" w:rsidRPr="00877A7E" w14:paraId="6050AD12" w14:textId="77777777" w:rsidTr="00C23A0F">
        <w:trPr>
          <w:trHeight w:val="293"/>
        </w:trPr>
        <w:tc>
          <w:tcPr>
            <w:tcW w:w="3131" w:type="dxa"/>
            <w:tcBorders>
              <w:bottom w:val="nil"/>
            </w:tcBorders>
            <w:noWrap/>
            <w:hideMark/>
          </w:tcPr>
          <w:p w14:paraId="4DCD98D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Luminal A</w:t>
            </w:r>
          </w:p>
        </w:tc>
        <w:tc>
          <w:tcPr>
            <w:tcW w:w="1754" w:type="dxa"/>
            <w:tcBorders>
              <w:bottom w:val="nil"/>
            </w:tcBorders>
            <w:noWrap/>
            <w:hideMark/>
          </w:tcPr>
          <w:p w14:paraId="636C5946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442" w:type="dxa"/>
            <w:tcBorders>
              <w:bottom w:val="nil"/>
            </w:tcBorders>
            <w:noWrap/>
            <w:hideMark/>
          </w:tcPr>
          <w:p w14:paraId="4EA9B9FB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24.0</w:t>
            </w:r>
          </w:p>
        </w:tc>
      </w:tr>
      <w:tr w:rsidR="003919FB" w:rsidRPr="00877A7E" w14:paraId="27F2F0C4" w14:textId="77777777" w:rsidTr="00C23A0F">
        <w:trPr>
          <w:trHeight w:val="293"/>
        </w:trPr>
        <w:tc>
          <w:tcPr>
            <w:tcW w:w="3131" w:type="dxa"/>
            <w:tcBorders>
              <w:top w:val="nil"/>
              <w:bottom w:val="nil"/>
            </w:tcBorders>
            <w:noWrap/>
            <w:hideMark/>
          </w:tcPr>
          <w:p w14:paraId="120C720B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Luminal B</w:t>
            </w:r>
          </w:p>
        </w:tc>
        <w:tc>
          <w:tcPr>
            <w:tcW w:w="1754" w:type="dxa"/>
            <w:tcBorders>
              <w:top w:val="nil"/>
              <w:bottom w:val="nil"/>
            </w:tcBorders>
            <w:noWrap/>
            <w:hideMark/>
          </w:tcPr>
          <w:p w14:paraId="027FD60F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  <w:hideMark/>
          </w:tcPr>
          <w:p w14:paraId="7D43AA8D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36.0</w:t>
            </w:r>
          </w:p>
        </w:tc>
      </w:tr>
      <w:tr w:rsidR="003919FB" w:rsidRPr="00877A7E" w14:paraId="639AC39D" w14:textId="77777777" w:rsidTr="00C23A0F">
        <w:trPr>
          <w:trHeight w:val="293"/>
        </w:trPr>
        <w:tc>
          <w:tcPr>
            <w:tcW w:w="3131" w:type="dxa"/>
            <w:tcBorders>
              <w:top w:val="nil"/>
              <w:bottom w:val="nil"/>
            </w:tcBorders>
            <w:noWrap/>
            <w:hideMark/>
          </w:tcPr>
          <w:p w14:paraId="2E0B5E4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Triple Negative</w:t>
            </w:r>
          </w:p>
        </w:tc>
        <w:tc>
          <w:tcPr>
            <w:tcW w:w="1754" w:type="dxa"/>
            <w:tcBorders>
              <w:top w:val="nil"/>
              <w:bottom w:val="nil"/>
            </w:tcBorders>
            <w:noWrap/>
            <w:hideMark/>
          </w:tcPr>
          <w:p w14:paraId="052BAF4B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442" w:type="dxa"/>
            <w:tcBorders>
              <w:top w:val="nil"/>
              <w:bottom w:val="nil"/>
            </w:tcBorders>
            <w:noWrap/>
            <w:hideMark/>
          </w:tcPr>
          <w:p w14:paraId="77F09541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16.0</w:t>
            </w:r>
          </w:p>
        </w:tc>
      </w:tr>
      <w:tr w:rsidR="003919FB" w:rsidRPr="00877A7E" w14:paraId="35F8EB62" w14:textId="77777777" w:rsidTr="00C23A0F">
        <w:trPr>
          <w:trHeight w:val="293"/>
        </w:trPr>
        <w:tc>
          <w:tcPr>
            <w:tcW w:w="31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34F588B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HER2 Type</w:t>
            </w:r>
          </w:p>
        </w:tc>
        <w:tc>
          <w:tcPr>
            <w:tcW w:w="175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04A5A9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44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542415" w14:textId="77777777" w:rsidR="003919FB" w:rsidRPr="00877A7E" w:rsidRDefault="003919FB" w:rsidP="00C23A0F">
            <w:pPr>
              <w:jc w:val="center"/>
              <w:rPr>
                <w:rFonts w:ascii="Arial" w:hAnsi="Arial" w:cs="Arial"/>
                <w:szCs w:val="21"/>
              </w:rPr>
            </w:pPr>
            <w:r w:rsidRPr="00877A7E">
              <w:rPr>
                <w:rFonts w:ascii="Arial" w:hAnsi="Arial" w:cs="Arial"/>
                <w:szCs w:val="21"/>
              </w:rPr>
              <w:t>20.0</w:t>
            </w:r>
          </w:p>
        </w:tc>
      </w:tr>
    </w:tbl>
    <w:p w14:paraId="587B5337" w14:textId="296AD975" w:rsidR="00607F3E" w:rsidRDefault="00607F3E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03252298" w14:textId="42ACC077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78606541" w14:textId="25195F28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596454C6" w14:textId="5C00E299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2901FA39" w14:textId="77777777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3BC20716" w14:textId="1D96AAB1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381EF7A8" w14:textId="1AC39EE8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5DB3F668" w14:textId="77777777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51626722" w14:textId="471B6356" w:rsidR="003919FB" w:rsidRDefault="003919FB">
      <w:pPr>
        <w:adjustRightInd w:val="0"/>
        <w:snapToGrid w:val="0"/>
        <w:spacing w:beforeLines="100" w:before="312" w:line="360" w:lineRule="auto"/>
        <w:rPr>
          <w:rFonts w:ascii="Arial" w:eastAsia="宋体" w:hAnsi="Arial" w:cs="Arial"/>
          <w:color w:val="000000" w:themeColor="text1"/>
          <w:szCs w:val="21"/>
          <w:shd w:val="clear" w:color="auto" w:fill="FFFFFF"/>
        </w:rPr>
      </w:pPr>
    </w:p>
    <w:p w14:paraId="0EDBA131" w14:textId="77777777" w:rsidR="003919FB" w:rsidRDefault="003919FB">
      <w:pPr>
        <w:adjustRightInd w:val="0"/>
        <w:snapToGrid w:val="0"/>
        <w:rPr>
          <w:rFonts w:ascii="Arial" w:hAnsi="Arial" w:cs="Arial"/>
          <w:b/>
          <w:bCs/>
        </w:rPr>
      </w:pPr>
    </w:p>
    <w:p w14:paraId="523FB300" w14:textId="77777777" w:rsidR="00607F3E" w:rsidRDefault="0044051A">
      <w:pPr>
        <w:adjustRightInd w:val="0"/>
        <w:snapToGrid w:val="0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S</w:t>
      </w:r>
      <w:r>
        <w:rPr>
          <w:rFonts w:ascii="Arial" w:hAnsi="Arial" w:cs="Arial"/>
          <w:b/>
          <w:bCs/>
        </w:rPr>
        <w:t>upplementary Figures</w:t>
      </w:r>
    </w:p>
    <w:p w14:paraId="70C2EB07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A711F6" wp14:editId="6F68F31E">
            <wp:extent cx="5274310" cy="51492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5831" w14:textId="77777777" w:rsidR="00607F3E" w:rsidRDefault="0044051A">
      <w:pPr>
        <w:adjustRightInd w:val="0"/>
        <w:snapToGrid w:val="0"/>
        <w:spacing w:beforeLines="100" w:before="312" w:line="360" w:lineRule="auto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S</w:t>
      </w:r>
      <w:r>
        <w:rPr>
          <w:rFonts w:ascii="Arial" w:hAnsi="Arial" w:cs="Arial"/>
          <w:b/>
          <w:bCs/>
        </w:rPr>
        <w:t>upplementary Figure 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(A) </w:t>
      </w:r>
      <w:r>
        <w:rPr>
          <w:rFonts w:ascii="Arial" w:hAnsi="Arial" w:cs="Arial"/>
        </w:rPr>
        <w:t xml:space="preserve">Characterization of miR-520b-overexpressing breast cancer cells. The expression of miR-520b in indicate cells was detected by qRT-PCR. </w:t>
      </w:r>
      <w:r>
        <w:rPr>
          <w:rFonts w:ascii="Arial" w:hAnsi="Arial" w:cs="Arial"/>
          <w:b/>
          <w:bCs/>
        </w:rPr>
        <w:t xml:space="preserve">(B) </w:t>
      </w:r>
      <w:r>
        <w:rPr>
          <w:rFonts w:ascii="Arial" w:hAnsi="Arial" w:cs="Arial"/>
        </w:rPr>
        <w:t xml:space="preserve">Characterization of miR-520-knockdown breast cancer cells. The expression of miR-520b in indicate cells was detected by qRT-PCR. </w:t>
      </w:r>
      <w:r>
        <w:rPr>
          <w:rFonts w:ascii="Arial" w:hAnsi="Arial" w:cs="Arial"/>
          <w:b/>
          <w:bCs/>
        </w:rPr>
        <w:t xml:space="preserve">(C) </w:t>
      </w:r>
      <w:r>
        <w:rPr>
          <w:rFonts w:ascii="Arial" w:hAnsi="Arial" w:cs="Arial"/>
        </w:rPr>
        <w:t xml:space="preserve">LATS2 was downregulated in breast cancer tissues. The expression of LATS2 in breast cancer tissues was analyzed by bioinformatic analysis. </w:t>
      </w:r>
      <w:r>
        <w:rPr>
          <w:rFonts w:ascii="Arial" w:hAnsi="Arial" w:cs="Arial"/>
          <w:b/>
          <w:bCs/>
        </w:rPr>
        <w:t xml:space="preserve">(D) </w:t>
      </w:r>
      <w:r>
        <w:rPr>
          <w:rFonts w:ascii="Arial" w:hAnsi="Arial" w:cs="Arial"/>
        </w:rPr>
        <w:t xml:space="preserve">Characterization of miR-520b-overexperssing LATS2-overexpressing breast cancer cells. The protein levels of LATS2 in indicated cells were analyzed by western blot. Student t test </w:t>
      </w:r>
      <w:bookmarkStart w:id="4" w:name="_Hlk23203585"/>
      <w:r>
        <w:rPr>
          <w:rFonts w:ascii="Arial" w:hAnsi="Arial" w:cs="Arial"/>
        </w:rPr>
        <w:t>(**</w:t>
      </w:r>
      <w:r>
        <w:rPr>
          <w:rFonts w:ascii="Arial" w:hAnsi="Arial" w:cs="Arial"/>
          <w:i/>
          <w:iCs/>
        </w:rPr>
        <w:t>P</w:t>
      </w:r>
      <w:r>
        <w:rPr>
          <w:rFonts w:asciiTheme="minorEastAsia" w:hAnsiTheme="minorEastAsia" w:cs="Arial" w:hint="eastAsia"/>
        </w:rPr>
        <w:t>﹤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>.01, ***</w:t>
      </w:r>
      <w:r>
        <w:rPr>
          <w:rFonts w:ascii="Arial" w:hAnsi="Arial" w:cs="Arial"/>
          <w:i/>
          <w:iCs/>
        </w:rPr>
        <w:t>P</w:t>
      </w:r>
      <w:r>
        <w:rPr>
          <w:rFonts w:asciiTheme="minorEastAsia" w:hAnsiTheme="minorEastAsia" w:cs="Arial" w:hint="eastAsia"/>
        </w:rPr>
        <w:t>﹤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>.001)</w:t>
      </w:r>
      <w:bookmarkEnd w:id="4"/>
      <w:r>
        <w:rPr>
          <w:rFonts w:ascii="Arial" w:hAnsi="Arial" w:cs="Arial"/>
        </w:rPr>
        <w:t>.</w:t>
      </w:r>
    </w:p>
    <w:sectPr w:rsidR="0060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A54D2" w14:textId="77777777" w:rsidR="004151EF" w:rsidRDefault="004151EF" w:rsidP="003919FB">
      <w:r>
        <w:separator/>
      </w:r>
    </w:p>
  </w:endnote>
  <w:endnote w:type="continuationSeparator" w:id="0">
    <w:p w14:paraId="1E120863" w14:textId="77777777" w:rsidR="004151EF" w:rsidRDefault="004151EF" w:rsidP="0039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ZFSK--GBK1-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5436" w14:textId="77777777" w:rsidR="004151EF" w:rsidRDefault="004151EF" w:rsidP="003919FB">
      <w:r>
        <w:separator/>
      </w:r>
    </w:p>
  </w:footnote>
  <w:footnote w:type="continuationSeparator" w:id="0">
    <w:p w14:paraId="48C96908" w14:textId="77777777" w:rsidR="004151EF" w:rsidRDefault="004151EF" w:rsidP="0039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94"/>
    <w:rsid w:val="00050CAD"/>
    <w:rsid w:val="00065BF1"/>
    <w:rsid w:val="00105579"/>
    <w:rsid w:val="00132EC6"/>
    <w:rsid w:val="00155610"/>
    <w:rsid w:val="00181E0E"/>
    <w:rsid w:val="001B07B1"/>
    <w:rsid w:val="002100A0"/>
    <w:rsid w:val="00214834"/>
    <w:rsid w:val="002248BF"/>
    <w:rsid w:val="002D4325"/>
    <w:rsid w:val="003919FB"/>
    <w:rsid w:val="003A5E89"/>
    <w:rsid w:val="003B0E3A"/>
    <w:rsid w:val="003C56CF"/>
    <w:rsid w:val="003E142A"/>
    <w:rsid w:val="004151EF"/>
    <w:rsid w:val="0044051A"/>
    <w:rsid w:val="004565EA"/>
    <w:rsid w:val="00516734"/>
    <w:rsid w:val="00572D93"/>
    <w:rsid w:val="005B2575"/>
    <w:rsid w:val="00607F3E"/>
    <w:rsid w:val="00630BC6"/>
    <w:rsid w:val="00654751"/>
    <w:rsid w:val="006833EB"/>
    <w:rsid w:val="006C5776"/>
    <w:rsid w:val="006C5BFB"/>
    <w:rsid w:val="0077685E"/>
    <w:rsid w:val="007C7D94"/>
    <w:rsid w:val="007E1D91"/>
    <w:rsid w:val="007F50D7"/>
    <w:rsid w:val="00815796"/>
    <w:rsid w:val="008B7BE7"/>
    <w:rsid w:val="008F5861"/>
    <w:rsid w:val="009235FE"/>
    <w:rsid w:val="009343F0"/>
    <w:rsid w:val="009C78EE"/>
    <w:rsid w:val="009C7F8C"/>
    <w:rsid w:val="009E41E5"/>
    <w:rsid w:val="00A072CB"/>
    <w:rsid w:val="00A3649D"/>
    <w:rsid w:val="00A96C83"/>
    <w:rsid w:val="00AD4229"/>
    <w:rsid w:val="00B551A2"/>
    <w:rsid w:val="00BE5017"/>
    <w:rsid w:val="00BF5212"/>
    <w:rsid w:val="00C023B8"/>
    <w:rsid w:val="00C6115C"/>
    <w:rsid w:val="00CB393B"/>
    <w:rsid w:val="00D124C3"/>
    <w:rsid w:val="00D7782E"/>
    <w:rsid w:val="00DA5AAF"/>
    <w:rsid w:val="00E25001"/>
    <w:rsid w:val="00E5473B"/>
    <w:rsid w:val="00E863BC"/>
    <w:rsid w:val="00ED6F69"/>
    <w:rsid w:val="00F81869"/>
    <w:rsid w:val="00FA3714"/>
    <w:rsid w:val="3D192A78"/>
    <w:rsid w:val="4D3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DF61"/>
  <w15:docId w15:val="{054872A6-6836-4749-9B81-3D6AC343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59"/>
    <w:rsid w:val="003919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zl_zq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5310430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 Michael</dc:creator>
  <cp:lastModifiedBy>Lang Michael</cp:lastModifiedBy>
  <cp:revision>26</cp:revision>
  <dcterms:created xsi:type="dcterms:W3CDTF">2019-10-27T01:43:00Z</dcterms:created>
  <dcterms:modified xsi:type="dcterms:W3CDTF">2019-12-08T18:40:00Z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