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0C" w:rsidRDefault="00C56C0C" w:rsidP="00C56C0C">
      <w:pPr>
        <w:autoSpaceDE w:val="0"/>
        <w:autoSpaceDN w:val="0"/>
        <w:adjustRightInd w:val="0"/>
        <w:spacing w:line="360" w:lineRule="auto"/>
        <w:rPr>
          <w:rFonts w:eastAsia="Times New Roman"/>
          <w:b/>
          <w:sz w:val="24"/>
        </w:rPr>
      </w:pPr>
      <w:r>
        <w:rPr>
          <w:b/>
          <w:sz w:val="24"/>
        </w:rPr>
        <w:t xml:space="preserve">Supplementary </w:t>
      </w:r>
      <w:r>
        <w:rPr>
          <w:rFonts w:hint="eastAsia"/>
          <w:b/>
          <w:sz w:val="24"/>
        </w:rPr>
        <w:t>T</w:t>
      </w:r>
      <w:r>
        <w:rPr>
          <w:b/>
          <w:sz w:val="24"/>
        </w:rPr>
        <w:t xml:space="preserve">able 1 </w:t>
      </w:r>
      <w:r>
        <w:rPr>
          <w:bCs/>
          <w:sz w:val="24"/>
        </w:rPr>
        <w:t>Antibodies</w:t>
      </w:r>
      <w:r>
        <w:rPr>
          <w:rFonts w:hint="eastAsia"/>
          <w:bCs/>
          <w:sz w:val="24"/>
        </w:rPr>
        <w:t xml:space="preserve"> I</w:t>
      </w:r>
      <w:r>
        <w:rPr>
          <w:bCs/>
          <w:sz w:val="24"/>
        </w:rPr>
        <w:t xml:space="preserve">n </w:t>
      </w:r>
      <w:r>
        <w:rPr>
          <w:rFonts w:hint="eastAsia"/>
          <w:bCs/>
          <w:sz w:val="24"/>
        </w:rPr>
        <w:t>T</w:t>
      </w:r>
      <w:r>
        <w:rPr>
          <w:bCs/>
          <w:sz w:val="24"/>
        </w:rPr>
        <w:t xml:space="preserve">his </w:t>
      </w:r>
      <w:r>
        <w:rPr>
          <w:rFonts w:hint="eastAsia"/>
          <w:bCs/>
          <w:sz w:val="24"/>
        </w:rPr>
        <w:t>S</w:t>
      </w:r>
      <w:r>
        <w:rPr>
          <w:bCs/>
          <w:sz w:val="24"/>
        </w:rPr>
        <w:t>tudy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/>
      </w:tblPr>
      <w:tblGrid>
        <w:gridCol w:w="2812"/>
        <w:gridCol w:w="3426"/>
        <w:gridCol w:w="2284"/>
      </w:tblGrid>
      <w:tr w:rsidR="00C56C0C" w:rsidTr="004760D2"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</w:tcPr>
          <w:p w:rsidR="00C56C0C" w:rsidRDefault="00C56C0C" w:rsidP="004760D2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Antibodies against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</w:tcBorders>
          </w:tcPr>
          <w:p w:rsidR="00C56C0C" w:rsidRDefault="00C56C0C" w:rsidP="004760D2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Company</w:t>
            </w:r>
          </w:p>
        </w:tc>
        <w:tc>
          <w:tcPr>
            <w:tcW w:w="2284" w:type="dxa"/>
            <w:tcBorders>
              <w:top w:val="single" w:sz="4" w:space="0" w:color="auto"/>
              <w:bottom w:val="single" w:sz="4" w:space="0" w:color="auto"/>
            </w:tcBorders>
          </w:tcPr>
          <w:p w:rsidR="00C56C0C" w:rsidRDefault="00C56C0C" w:rsidP="004760D2">
            <w:pPr>
              <w:spacing w:line="36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Catalog number</w:t>
            </w:r>
          </w:p>
        </w:tc>
      </w:tr>
      <w:tr w:rsidR="00C56C0C" w:rsidTr="004760D2">
        <w:tc>
          <w:tcPr>
            <w:tcW w:w="2812" w:type="dxa"/>
            <w:tcBorders>
              <w:top w:val="single" w:sz="4" w:space="0" w:color="auto"/>
            </w:tcBorders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LETM1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Abnova</w:t>
            </w:r>
          </w:p>
        </w:tc>
        <w:tc>
          <w:tcPr>
            <w:tcW w:w="2284" w:type="dxa"/>
            <w:tcBorders>
              <w:top w:val="single" w:sz="4" w:space="0" w:color="auto"/>
            </w:tcBorders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 w:rsidRPr="00AD4F9E">
              <w:rPr>
                <w:bCs/>
                <w:sz w:val="24"/>
              </w:rPr>
              <w:t>H00003954-M03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SOX2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Millipore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AB5603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LSD1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Cell Signaling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2139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LGR5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Abcam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ab75732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CD44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Abcam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ab51037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CD68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NOVUS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NB120-16518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CD105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Abcam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 w:rsidRPr="00AD4F9E">
              <w:rPr>
                <w:bCs/>
                <w:sz w:val="24"/>
              </w:rPr>
              <w:t>ab170943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HIF1α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Proteintech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 20960-1-AP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cyclinD1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Abcam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ab134175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cyclinB1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Abcam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ab32053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p16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Millipore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MAB4133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p21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Millipore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07-415-1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p27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Millipore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06-445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CDK4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Millipore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MAB8879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pPI3K</w:t>
            </w:r>
            <w:r>
              <w:rPr>
                <w:rFonts w:hint="eastAsia"/>
                <w:bCs/>
                <w:sz w:val="24"/>
              </w:rPr>
              <w:t>-</w:t>
            </w:r>
            <w:r>
              <w:rPr>
                <w:bCs/>
                <w:sz w:val="24"/>
              </w:rPr>
              <w:t>p85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Abcam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ab86714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pAkt-Ser473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Millipore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05-1003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pAkt-Thr308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Millipore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07-1398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NFκB</w:t>
            </w:r>
            <w:r>
              <w:rPr>
                <w:rFonts w:hint="eastAsia"/>
                <w:bCs/>
                <w:sz w:val="24"/>
              </w:rPr>
              <w:t>-</w:t>
            </w:r>
            <w:r>
              <w:rPr>
                <w:bCs/>
                <w:sz w:val="24"/>
              </w:rPr>
              <w:t>p65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CST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 #3034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Snail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Abcam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ab53519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E-</w:t>
            </w:r>
            <w:r>
              <w:rPr>
                <w:rFonts w:hint="eastAsia"/>
                <w:bCs/>
                <w:sz w:val="24"/>
              </w:rPr>
              <w:t>c</w:t>
            </w:r>
            <w:r>
              <w:rPr>
                <w:bCs/>
                <w:sz w:val="24"/>
              </w:rPr>
              <w:t>adherin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Abcam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ab40772</w:t>
            </w:r>
          </w:p>
        </w:tc>
      </w:tr>
      <w:tr w:rsidR="00C56C0C" w:rsidTr="004760D2">
        <w:tc>
          <w:tcPr>
            <w:tcW w:w="2812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vimentin</w:t>
            </w:r>
          </w:p>
        </w:tc>
        <w:tc>
          <w:tcPr>
            <w:tcW w:w="3426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Millipore</w:t>
            </w:r>
          </w:p>
        </w:tc>
        <w:tc>
          <w:tcPr>
            <w:tcW w:w="2284" w:type="dxa"/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hyperlink r:id="rId4" w:history="1">
              <w:r>
                <w:rPr>
                  <w:bCs/>
                  <w:sz w:val="24"/>
                </w:rPr>
                <w:t>MABT121</w:t>
              </w:r>
            </w:hyperlink>
          </w:p>
        </w:tc>
      </w:tr>
    </w:tbl>
    <w:p w:rsidR="00C56C0C" w:rsidRDefault="00C56C0C" w:rsidP="00C56C0C">
      <w:pPr>
        <w:adjustRightInd w:val="0"/>
        <w:spacing w:line="360" w:lineRule="auto"/>
        <w:ind w:right="60"/>
        <w:rPr>
          <w:b/>
          <w:bCs/>
          <w:kern w:val="0"/>
          <w:sz w:val="24"/>
        </w:rPr>
      </w:pPr>
    </w:p>
    <w:p w:rsidR="00C56C0C" w:rsidRDefault="00C56C0C" w:rsidP="00C56C0C">
      <w:pPr>
        <w:adjustRightInd w:val="0"/>
        <w:spacing w:line="360" w:lineRule="auto"/>
        <w:ind w:right="60"/>
        <w:rPr>
          <w:kern w:val="0"/>
          <w:sz w:val="24"/>
        </w:rPr>
      </w:pPr>
      <w:r>
        <w:rPr>
          <w:b/>
          <w:bCs/>
          <w:kern w:val="0"/>
          <w:sz w:val="24"/>
        </w:rPr>
        <w:t xml:space="preserve">Supplementary </w:t>
      </w:r>
      <w:r>
        <w:rPr>
          <w:rFonts w:hint="eastAsia"/>
          <w:b/>
          <w:bCs/>
          <w:kern w:val="0"/>
          <w:sz w:val="24"/>
        </w:rPr>
        <w:t>T</w:t>
      </w:r>
      <w:r>
        <w:rPr>
          <w:b/>
          <w:bCs/>
          <w:kern w:val="0"/>
          <w:sz w:val="24"/>
        </w:rPr>
        <w:t xml:space="preserve">able 2 </w:t>
      </w:r>
      <w:r>
        <w:rPr>
          <w:iCs/>
          <w:sz w:val="24"/>
        </w:rPr>
        <w:t xml:space="preserve">The </w:t>
      </w:r>
      <w:r>
        <w:rPr>
          <w:rFonts w:hint="eastAsia"/>
          <w:iCs/>
          <w:sz w:val="24"/>
        </w:rPr>
        <w:t>S</w:t>
      </w:r>
      <w:r>
        <w:rPr>
          <w:iCs/>
          <w:sz w:val="24"/>
        </w:rPr>
        <w:t xml:space="preserve">equence </w:t>
      </w:r>
      <w:r>
        <w:rPr>
          <w:rFonts w:hint="eastAsia"/>
          <w:iCs/>
          <w:sz w:val="24"/>
        </w:rPr>
        <w:t>O</w:t>
      </w:r>
      <w:r>
        <w:rPr>
          <w:iCs/>
          <w:sz w:val="24"/>
        </w:rPr>
        <w:t xml:space="preserve">f </w:t>
      </w:r>
      <w:r>
        <w:rPr>
          <w:kern w:val="0"/>
          <w:sz w:val="24"/>
        </w:rPr>
        <w:t xml:space="preserve">LETM1 </w:t>
      </w:r>
      <w:r>
        <w:rPr>
          <w:iCs/>
          <w:sz w:val="24"/>
        </w:rPr>
        <w:t>esiRNA</w:t>
      </w:r>
    </w:p>
    <w:tbl>
      <w:tblPr>
        <w:tblW w:w="0" w:type="auto"/>
        <w:tblInd w:w="108" w:type="dxa"/>
        <w:tblLayout w:type="fixed"/>
        <w:tblLook w:val="0000"/>
      </w:tblPr>
      <w:tblGrid>
        <w:gridCol w:w="1675"/>
        <w:gridCol w:w="6847"/>
      </w:tblGrid>
      <w:tr w:rsidR="00C56C0C" w:rsidTr="004760D2">
        <w:trPr>
          <w:trHeight w:val="222"/>
        </w:trPr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0C" w:rsidRDefault="00C56C0C" w:rsidP="004760D2">
            <w:pPr>
              <w:adjustRightInd w:val="0"/>
              <w:spacing w:line="360" w:lineRule="auto"/>
              <w:ind w:right="60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Gene </w:t>
            </w:r>
          </w:p>
        </w:tc>
        <w:tc>
          <w:tcPr>
            <w:tcW w:w="684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56C0C" w:rsidRDefault="00C56C0C" w:rsidP="004760D2">
            <w:pPr>
              <w:adjustRightInd w:val="0"/>
              <w:spacing w:line="360" w:lineRule="auto"/>
              <w:ind w:right="60"/>
              <w:rPr>
                <w:b/>
                <w:bCs/>
                <w:kern w:val="0"/>
                <w:sz w:val="24"/>
              </w:rPr>
            </w:pPr>
            <w:r>
              <w:rPr>
                <w:rFonts w:eastAsia="DengXian"/>
                <w:b/>
                <w:bCs/>
                <w:kern w:val="0"/>
                <w:sz w:val="24"/>
              </w:rPr>
              <w:t xml:space="preserve">                        </w:t>
            </w:r>
            <w:r>
              <w:rPr>
                <w:b/>
                <w:bCs/>
                <w:kern w:val="0"/>
                <w:sz w:val="24"/>
              </w:rPr>
              <w:t>Sequence</w:t>
            </w:r>
          </w:p>
        </w:tc>
      </w:tr>
      <w:tr w:rsidR="00C56C0C" w:rsidTr="004760D2">
        <w:trPr>
          <w:trHeight w:val="134"/>
        </w:trPr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</w:tcPr>
          <w:p w:rsidR="00C56C0C" w:rsidRDefault="00C56C0C" w:rsidP="004760D2">
            <w:pPr>
              <w:adjustRightInd w:val="0"/>
              <w:spacing w:line="360" w:lineRule="auto"/>
              <w:ind w:right="6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LETM1</w:t>
            </w:r>
          </w:p>
        </w:tc>
        <w:tc>
          <w:tcPr>
            <w:tcW w:w="68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6C0C" w:rsidRDefault="00C56C0C" w:rsidP="004760D2">
            <w:pPr>
              <w:adjustRightInd w:val="0"/>
              <w:spacing w:line="360" w:lineRule="auto"/>
              <w:ind w:right="60"/>
              <w:rPr>
                <w:kern w:val="0"/>
                <w:sz w:val="24"/>
              </w:rPr>
            </w:pPr>
            <w:r>
              <w:rPr>
                <w:sz w:val="24"/>
              </w:rPr>
              <w:t>GTTCGCGATGACTCGGTAGTAGAGAAGTCCCTCAAGTCCTTGAAGGACAAGAACAAGAAGCTGGAGGAAGGCGGCCCGGTGTACAGCCCCCCCGCAGAGGTGGTGGTGAAGAAGTCC</w:t>
            </w:r>
            <w:r>
              <w:rPr>
                <w:sz w:val="24"/>
              </w:rPr>
              <w:lastRenderedPageBreak/>
              <w:t>CTGGGGCAGCGGGTGCTGGACGAGCTGAAGCACTACTACCATGGCTTCCGCCTGCTATGGATCGACACCAAGATCGCGGCACGCATGCTCTGGCGCATCCTCAACGGCCACAGCCTGACCCGCCGGGAGCGCAGGCAGTTTCTCCGGATCTGCGCTGACCTCTTCCGCCTGGTGCCGTTCCTTGTGTTCGTGGTGGTGCCGTTCATGGAGTTTCTGCTGCCTGTTGCTGTGAAGCTCTTCCCCAACATGTTGCCATCCACATTTGAGACTCAGTCACTCAAGGAGGAGAGGCTGAAGAAGGAGCTTCGGGTCAAGCTGGAGCTGGCCAAGTTCCTCCAGGACACCATCGAGGAGAT</w:t>
            </w:r>
          </w:p>
        </w:tc>
      </w:tr>
    </w:tbl>
    <w:p w:rsidR="00C56C0C" w:rsidRDefault="00C56C0C" w:rsidP="00C56C0C">
      <w:pPr>
        <w:spacing w:line="360" w:lineRule="auto"/>
        <w:rPr>
          <w:sz w:val="24"/>
        </w:rPr>
      </w:pPr>
    </w:p>
    <w:p w:rsidR="00C56C0C" w:rsidRDefault="00C56C0C" w:rsidP="00C56C0C">
      <w:pPr>
        <w:spacing w:line="360" w:lineRule="auto"/>
        <w:rPr>
          <w:rStyle w:val="fontstyle01"/>
          <w:rFonts w:ascii="Times New Roman" w:hAnsi="Times New Roman"/>
          <w:b w:val="0"/>
          <w:bCs w:val="0"/>
        </w:rPr>
      </w:pPr>
      <w:r>
        <w:rPr>
          <w:rStyle w:val="fontstyle01"/>
          <w:rFonts w:ascii="Times New Roman" w:hAnsi="Times New Roman"/>
        </w:rPr>
        <w:t xml:space="preserve">Supplementary </w:t>
      </w:r>
      <w:r>
        <w:rPr>
          <w:rStyle w:val="fontstyle01"/>
          <w:rFonts w:ascii="Times New Roman" w:hAnsi="Times New Roman" w:hint="eastAsia"/>
        </w:rPr>
        <w:t>T</w:t>
      </w:r>
      <w:r>
        <w:rPr>
          <w:rStyle w:val="fontstyle01"/>
          <w:rFonts w:ascii="Times New Roman" w:hAnsi="Times New Roman"/>
        </w:rPr>
        <w:t>able 3</w:t>
      </w:r>
      <w:r>
        <w:rPr>
          <w:rStyle w:val="fontstyle01"/>
          <w:rFonts w:ascii="Times New Roman" w:hAnsi="Times New Roman"/>
          <w:b w:val="0"/>
          <w:bCs w:val="0"/>
        </w:rPr>
        <w:t xml:space="preserve"> </w:t>
      </w:r>
      <w:r>
        <w:rPr>
          <w:color w:val="000000"/>
          <w:sz w:val="24"/>
        </w:rPr>
        <w:t xml:space="preserve">LETM1 </w:t>
      </w:r>
      <w:r>
        <w:rPr>
          <w:rFonts w:hint="eastAsia"/>
          <w:color w:val="000000"/>
          <w:sz w:val="24"/>
        </w:rPr>
        <w:t>P</w:t>
      </w:r>
      <w:r>
        <w:rPr>
          <w:color w:val="000000"/>
          <w:sz w:val="24"/>
        </w:rPr>
        <w:t>rotein</w:t>
      </w:r>
      <w:r>
        <w:rPr>
          <w:rFonts w:hint="eastAsia"/>
          <w:color w:val="000000"/>
          <w:sz w:val="24"/>
        </w:rPr>
        <w:t xml:space="preserve"> E</w:t>
      </w:r>
      <w:r>
        <w:rPr>
          <w:color w:val="000000"/>
          <w:sz w:val="24"/>
        </w:rPr>
        <w:t xml:space="preserve">xpression </w:t>
      </w:r>
      <w:r>
        <w:rPr>
          <w:rFonts w:hint="eastAsia"/>
          <w:color w:val="000000"/>
          <w:sz w:val="24"/>
        </w:rPr>
        <w:t>I</w:t>
      </w:r>
      <w:r>
        <w:rPr>
          <w:color w:val="000000"/>
          <w:sz w:val="24"/>
        </w:rPr>
        <w:t xml:space="preserve">n </w:t>
      </w:r>
      <w:r>
        <w:rPr>
          <w:rFonts w:hint="eastAsia"/>
          <w:color w:val="000000"/>
          <w:sz w:val="24"/>
        </w:rPr>
        <w:t>P</w:t>
      </w:r>
      <w:r>
        <w:rPr>
          <w:color w:val="000000"/>
          <w:sz w:val="24"/>
        </w:rPr>
        <w:t>rostate</w:t>
      </w:r>
      <w:r>
        <w:rPr>
          <w:rFonts w:hint="eastAsia"/>
          <w:color w:val="000000"/>
          <w:sz w:val="24"/>
        </w:rPr>
        <w:t xml:space="preserve"> L</w:t>
      </w:r>
      <w:r>
        <w:rPr>
          <w:color w:val="000000"/>
          <w:sz w:val="24"/>
        </w:rPr>
        <w:t>esions</w:t>
      </w:r>
    </w:p>
    <w:tbl>
      <w:tblPr>
        <w:tblW w:w="0" w:type="auto"/>
        <w:tblInd w:w="2" w:type="dxa"/>
        <w:tblBorders>
          <w:top w:val="single" w:sz="4" w:space="0" w:color="000000"/>
          <w:bottom w:val="single" w:sz="4" w:space="0" w:color="000000"/>
        </w:tblBorders>
        <w:tblLayout w:type="fixed"/>
        <w:tblLook w:val="0000"/>
      </w:tblPr>
      <w:tblGrid>
        <w:gridCol w:w="1814"/>
        <w:gridCol w:w="916"/>
        <w:gridCol w:w="1639"/>
        <w:gridCol w:w="1750"/>
        <w:gridCol w:w="950"/>
        <w:gridCol w:w="940"/>
        <w:gridCol w:w="940"/>
      </w:tblGrid>
      <w:tr w:rsidR="00C56C0C" w:rsidTr="004760D2">
        <w:trPr>
          <w:trHeight w:val="300"/>
        </w:trPr>
        <w:tc>
          <w:tcPr>
            <w:tcW w:w="18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6C0C" w:rsidRDefault="00C56C0C" w:rsidP="004760D2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Diagnosis</w:t>
            </w: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6C0C" w:rsidRDefault="00C56C0C" w:rsidP="004760D2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6C0C" w:rsidRDefault="00C56C0C" w:rsidP="004760D2">
            <w:pPr>
              <w:ind w:left="482" w:hangingChars="200" w:hanging="4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LETM1(-)</w:t>
            </w:r>
          </w:p>
          <w:p w:rsidR="00C56C0C" w:rsidRDefault="00C56C0C" w:rsidP="004760D2">
            <w:pPr>
              <w:ind w:leftChars="115" w:left="482" w:hangingChars="100" w:hanging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n(%)</w:t>
            </w: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56C0C" w:rsidRDefault="00C56C0C" w:rsidP="004760D2">
            <w:pPr>
              <w:ind w:left="482" w:hangingChars="200" w:hanging="48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LETM1(+)</w:t>
            </w:r>
          </w:p>
          <w:p w:rsidR="00C56C0C" w:rsidRDefault="00C56C0C" w:rsidP="004760D2">
            <w:pPr>
              <w:ind w:leftChars="115" w:left="482" w:hangingChars="100" w:hanging="2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n(%)</w:t>
            </w: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56C0C" w:rsidRDefault="00C56C0C" w:rsidP="004760D2">
            <w:pPr>
              <w:ind w:firstLineChars="147" w:firstLine="354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χ</w:t>
            </w:r>
            <w:r>
              <w:rPr>
                <w:b/>
                <w:bCs/>
                <w:sz w:val="24"/>
                <w:vertAlign w:val="superscript"/>
              </w:rPr>
              <w:t>2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56C0C" w:rsidRDefault="00C56C0C" w:rsidP="004760D2">
            <w:pPr>
              <w:ind w:firstLineChars="98" w:firstLine="236"/>
              <w:rPr>
                <w:b/>
                <w:sz w:val="24"/>
              </w:rPr>
            </w:pPr>
            <w:r>
              <w:rPr>
                <w:b/>
                <w:bCs/>
                <w:sz w:val="24"/>
              </w:rPr>
              <w:t>R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C56C0C" w:rsidRDefault="00C56C0C" w:rsidP="004760D2">
            <w:pPr>
              <w:jc w:val="center"/>
              <w:rPr>
                <w:b/>
                <w:sz w:val="24"/>
              </w:rPr>
            </w:pPr>
            <w:r>
              <w:rPr>
                <w:b/>
                <w:bCs/>
                <w:iCs/>
                <w:sz w:val="24"/>
              </w:rPr>
              <w:t>P</w:t>
            </w:r>
          </w:p>
        </w:tc>
      </w:tr>
      <w:tr w:rsidR="00C56C0C" w:rsidTr="004760D2">
        <w:trPr>
          <w:trHeight w:val="529"/>
        </w:trPr>
        <w:tc>
          <w:tcPr>
            <w:tcW w:w="18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14.250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0.311</w:t>
            </w:r>
          </w:p>
        </w:tc>
        <w:tc>
          <w:tcPr>
            <w:tcW w:w="94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C56C0C" w:rsidRDefault="00C56C0C" w:rsidP="004760D2">
            <w:pPr>
              <w:spacing w:line="360" w:lineRule="auto"/>
              <w:rPr>
                <w:bCs/>
                <w:sz w:val="24"/>
              </w:rPr>
            </w:pPr>
            <w:r>
              <w:rPr>
                <w:bCs/>
                <w:sz w:val="24"/>
              </w:rPr>
              <w:t>&lt;0.001</w:t>
            </w:r>
          </w:p>
        </w:tc>
      </w:tr>
      <w:tr w:rsidR="00C56C0C" w:rsidTr="004760D2">
        <w:trPr>
          <w:trHeight w:val="480"/>
        </w:trPr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56C0C" w:rsidRPr="00535464" w:rsidRDefault="00C56C0C" w:rsidP="004760D2">
            <w:pPr>
              <w:jc w:val="center"/>
              <w:rPr>
                <w:bCs/>
                <w:sz w:val="24"/>
              </w:rPr>
            </w:pPr>
            <w:r w:rsidRPr="00535464">
              <w:rPr>
                <w:bCs/>
                <w:sz w:val="24"/>
              </w:rPr>
              <w:t>BPH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</w:tcPr>
          <w:p w:rsidR="00C56C0C" w:rsidRPr="00535464" w:rsidRDefault="00C56C0C" w:rsidP="004760D2">
            <w:pPr>
              <w:jc w:val="center"/>
              <w:rPr>
                <w:sz w:val="24"/>
              </w:rPr>
            </w:pPr>
            <w:r w:rsidRPr="00535464">
              <w:rPr>
                <w:sz w:val="24"/>
              </w:rPr>
              <w:t>14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C56C0C" w:rsidRPr="00535464" w:rsidRDefault="00C56C0C" w:rsidP="004760D2">
            <w:pPr>
              <w:jc w:val="center"/>
              <w:rPr>
                <w:sz w:val="24"/>
              </w:rPr>
            </w:pPr>
            <w:r w:rsidRPr="00535464">
              <w:rPr>
                <w:sz w:val="24"/>
              </w:rPr>
              <w:t>11(78.6)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C56C0C" w:rsidRPr="00535464" w:rsidRDefault="00C56C0C" w:rsidP="004760D2">
            <w:pPr>
              <w:jc w:val="center"/>
              <w:rPr>
                <w:sz w:val="24"/>
              </w:rPr>
            </w:pPr>
            <w:r w:rsidRPr="00535464">
              <w:rPr>
                <w:sz w:val="24"/>
              </w:rPr>
              <w:t>3(21.4)</w:t>
            </w: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</w:tcPr>
          <w:p w:rsidR="00C56C0C" w:rsidRDefault="00C56C0C" w:rsidP="004760D2">
            <w:pPr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C56C0C" w:rsidRDefault="00C56C0C" w:rsidP="004760D2">
            <w:pPr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</w:tcPr>
          <w:p w:rsidR="00C56C0C" w:rsidRDefault="00C56C0C" w:rsidP="004760D2">
            <w:pPr>
              <w:jc w:val="center"/>
              <w:rPr>
                <w:sz w:val="24"/>
              </w:rPr>
            </w:pPr>
          </w:p>
        </w:tc>
      </w:tr>
      <w:tr w:rsidR="00C56C0C" w:rsidTr="004760D2">
        <w:trPr>
          <w:trHeight w:val="453"/>
        </w:trPr>
        <w:tc>
          <w:tcPr>
            <w:tcW w:w="181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56C0C" w:rsidRPr="00535464" w:rsidRDefault="00C56C0C" w:rsidP="004760D2">
            <w:pPr>
              <w:jc w:val="center"/>
              <w:rPr>
                <w:bCs/>
                <w:sz w:val="24"/>
              </w:rPr>
            </w:pPr>
            <w:r w:rsidRPr="00535464">
              <w:rPr>
                <w:bCs/>
                <w:sz w:val="24"/>
              </w:rPr>
              <w:t>CA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56C0C" w:rsidRPr="00535464" w:rsidRDefault="00C56C0C" w:rsidP="004760D2">
            <w:pPr>
              <w:jc w:val="center"/>
              <w:rPr>
                <w:sz w:val="24"/>
              </w:rPr>
            </w:pPr>
            <w:r w:rsidRPr="00535464">
              <w:rPr>
                <w:sz w:val="24"/>
              </w:rPr>
              <w:t>133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56C0C" w:rsidRPr="00535464" w:rsidRDefault="00C56C0C" w:rsidP="004760D2">
            <w:pPr>
              <w:jc w:val="center"/>
              <w:rPr>
                <w:sz w:val="24"/>
              </w:rPr>
            </w:pPr>
            <w:r w:rsidRPr="00535464">
              <w:rPr>
                <w:sz w:val="24"/>
              </w:rPr>
              <w:t>38(28.6)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56C0C" w:rsidRPr="00535464" w:rsidRDefault="00C56C0C" w:rsidP="004760D2">
            <w:pPr>
              <w:jc w:val="center"/>
              <w:rPr>
                <w:sz w:val="24"/>
              </w:rPr>
            </w:pPr>
            <w:r w:rsidRPr="00535464">
              <w:rPr>
                <w:sz w:val="24"/>
              </w:rPr>
              <w:t>95(71.4)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56C0C" w:rsidRDefault="00C56C0C" w:rsidP="004760D2">
            <w:pPr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56C0C" w:rsidRDefault="00C56C0C" w:rsidP="004760D2">
            <w:pPr>
              <w:jc w:val="center"/>
              <w:rPr>
                <w:sz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56C0C" w:rsidRDefault="00C56C0C" w:rsidP="004760D2">
            <w:pPr>
              <w:jc w:val="center"/>
              <w:rPr>
                <w:sz w:val="24"/>
              </w:rPr>
            </w:pPr>
          </w:p>
        </w:tc>
      </w:tr>
    </w:tbl>
    <w:p w:rsidR="00C56C0C" w:rsidRDefault="00C56C0C" w:rsidP="00C56C0C">
      <w:pPr>
        <w:spacing w:line="360" w:lineRule="auto"/>
        <w:rPr>
          <w:rStyle w:val="fontstyle01"/>
          <w:rFonts w:ascii="Times New Roman" w:hAnsi="Times New Roman"/>
        </w:rPr>
      </w:pPr>
    </w:p>
    <w:p w:rsidR="00C56C0C" w:rsidRDefault="00C56C0C" w:rsidP="00C56C0C">
      <w:pPr>
        <w:spacing w:line="360" w:lineRule="auto"/>
        <w:rPr>
          <w:sz w:val="24"/>
        </w:rPr>
      </w:pPr>
      <w:r>
        <w:rPr>
          <w:rStyle w:val="fontstyle01"/>
          <w:rFonts w:ascii="Times New Roman" w:hAnsi="Times New Roman"/>
        </w:rPr>
        <w:t xml:space="preserve">Supplementary </w:t>
      </w:r>
      <w:r>
        <w:rPr>
          <w:rStyle w:val="fontstyle01"/>
          <w:rFonts w:ascii="Times New Roman" w:hAnsi="Times New Roman" w:hint="eastAsia"/>
        </w:rPr>
        <w:t>T</w:t>
      </w:r>
      <w:r>
        <w:rPr>
          <w:rStyle w:val="fontstyle01"/>
          <w:rFonts w:ascii="Times New Roman" w:hAnsi="Times New Roman"/>
        </w:rPr>
        <w:t xml:space="preserve">able 4 </w:t>
      </w:r>
      <w:r>
        <w:rPr>
          <w:sz w:val="24"/>
        </w:rPr>
        <w:t xml:space="preserve">Univariate </w:t>
      </w:r>
      <w:r>
        <w:rPr>
          <w:rFonts w:hint="eastAsia"/>
          <w:sz w:val="24"/>
        </w:rPr>
        <w:t>A</w:t>
      </w:r>
      <w:r>
        <w:rPr>
          <w:sz w:val="24"/>
        </w:rPr>
        <w:t xml:space="preserve">nd </w:t>
      </w:r>
      <w:r>
        <w:rPr>
          <w:rFonts w:hint="eastAsia"/>
          <w:sz w:val="24"/>
        </w:rPr>
        <w:t>M</w:t>
      </w:r>
      <w:r>
        <w:rPr>
          <w:sz w:val="24"/>
        </w:rPr>
        <w:t xml:space="preserve">ultivariate </w:t>
      </w:r>
      <w:r>
        <w:rPr>
          <w:rFonts w:hint="eastAsia"/>
          <w:sz w:val="24"/>
        </w:rPr>
        <w:t>A</w:t>
      </w:r>
      <w:r>
        <w:rPr>
          <w:sz w:val="24"/>
        </w:rPr>
        <w:t xml:space="preserve">nalyses </w:t>
      </w:r>
      <w:r>
        <w:rPr>
          <w:rFonts w:hint="eastAsia"/>
          <w:sz w:val="24"/>
        </w:rPr>
        <w:t>O</w:t>
      </w:r>
      <w:r>
        <w:rPr>
          <w:sz w:val="24"/>
        </w:rPr>
        <w:t xml:space="preserve">f </w:t>
      </w:r>
      <w:r>
        <w:rPr>
          <w:rFonts w:hint="eastAsia"/>
          <w:sz w:val="24"/>
        </w:rPr>
        <w:t>P</w:t>
      </w:r>
      <w:r>
        <w:rPr>
          <w:sz w:val="24"/>
        </w:rPr>
        <w:t xml:space="preserve">rognostic </w:t>
      </w:r>
      <w:r>
        <w:rPr>
          <w:rFonts w:hint="eastAsia"/>
          <w:sz w:val="24"/>
        </w:rPr>
        <w:t>V</w:t>
      </w:r>
      <w:r>
        <w:rPr>
          <w:sz w:val="24"/>
        </w:rPr>
        <w:t xml:space="preserve">ariables </w:t>
      </w:r>
      <w:r>
        <w:rPr>
          <w:rFonts w:hint="eastAsia"/>
          <w:sz w:val="24"/>
        </w:rPr>
        <w:t>F</w:t>
      </w:r>
      <w:r>
        <w:rPr>
          <w:sz w:val="24"/>
        </w:rPr>
        <w:t xml:space="preserve">or </w:t>
      </w:r>
      <w:r>
        <w:rPr>
          <w:rFonts w:hint="eastAsia"/>
          <w:sz w:val="24"/>
        </w:rPr>
        <w:t>O</w:t>
      </w:r>
      <w:r>
        <w:rPr>
          <w:sz w:val="24"/>
        </w:rPr>
        <w:t xml:space="preserve">verall </w:t>
      </w:r>
      <w:r>
        <w:rPr>
          <w:rFonts w:hint="eastAsia"/>
          <w:sz w:val="24"/>
        </w:rPr>
        <w:t>S</w:t>
      </w:r>
      <w:r>
        <w:rPr>
          <w:sz w:val="24"/>
        </w:rPr>
        <w:t xml:space="preserve">urvival </w:t>
      </w:r>
      <w:r>
        <w:rPr>
          <w:rFonts w:hint="eastAsia"/>
          <w:sz w:val="24"/>
        </w:rPr>
        <w:t>I</w:t>
      </w:r>
      <w:r>
        <w:rPr>
          <w:sz w:val="24"/>
        </w:rPr>
        <w:t xml:space="preserve">n </w:t>
      </w:r>
      <w:r>
        <w:rPr>
          <w:rFonts w:hint="eastAsia"/>
          <w:sz w:val="24"/>
        </w:rPr>
        <w:t>P</w:t>
      </w:r>
      <w:r>
        <w:rPr>
          <w:sz w:val="24"/>
        </w:rPr>
        <w:t xml:space="preserve">rostate </w:t>
      </w:r>
      <w:r>
        <w:rPr>
          <w:rFonts w:hint="eastAsia"/>
          <w:sz w:val="24"/>
        </w:rPr>
        <w:t>C</w:t>
      </w:r>
      <w:r>
        <w:rPr>
          <w:sz w:val="24"/>
        </w:rPr>
        <w:t xml:space="preserve">ancer </w:t>
      </w:r>
      <w:r>
        <w:rPr>
          <w:rFonts w:hint="eastAsia"/>
          <w:sz w:val="24"/>
        </w:rPr>
        <w:t>P</w:t>
      </w:r>
      <w:r>
        <w:rPr>
          <w:sz w:val="24"/>
        </w:rPr>
        <w:t xml:space="preserve">atients </w:t>
      </w:r>
      <w:r>
        <w:rPr>
          <w:rFonts w:hint="eastAsia"/>
          <w:sz w:val="24"/>
        </w:rPr>
        <w:t>U</w:t>
      </w:r>
      <w:r>
        <w:rPr>
          <w:sz w:val="24"/>
        </w:rPr>
        <w:t xml:space="preserve">sing Cox </w:t>
      </w:r>
      <w:r>
        <w:rPr>
          <w:rFonts w:hint="eastAsia"/>
          <w:sz w:val="24"/>
        </w:rPr>
        <w:t>P</w:t>
      </w:r>
      <w:r>
        <w:rPr>
          <w:sz w:val="24"/>
        </w:rPr>
        <w:t xml:space="preserve">roportional </w:t>
      </w:r>
      <w:r>
        <w:rPr>
          <w:rFonts w:hint="eastAsia"/>
          <w:sz w:val="24"/>
        </w:rPr>
        <w:t>H</w:t>
      </w:r>
      <w:r>
        <w:rPr>
          <w:sz w:val="24"/>
        </w:rPr>
        <w:t xml:space="preserve">azards </w:t>
      </w:r>
      <w:r>
        <w:rPr>
          <w:rFonts w:hint="eastAsia"/>
          <w:sz w:val="24"/>
        </w:rPr>
        <w:t>R</w:t>
      </w:r>
      <w:r>
        <w:rPr>
          <w:sz w:val="24"/>
        </w:rPr>
        <w:t>egression</w:t>
      </w:r>
    </w:p>
    <w:tbl>
      <w:tblPr>
        <w:tblW w:w="0" w:type="auto"/>
        <w:tblBorders>
          <w:top w:val="single" w:sz="18" w:space="0" w:color="000000"/>
          <w:bottom w:val="single" w:sz="1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507"/>
        <w:gridCol w:w="1013"/>
        <w:gridCol w:w="1800"/>
        <w:gridCol w:w="900"/>
        <w:gridCol w:w="1080"/>
        <w:gridCol w:w="1440"/>
        <w:gridCol w:w="1080"/>
      </w:tblGrid>
      <w:tr w:rsidR="00C56C0C" w:rsidTr="004760D2">
        <w:trPr>
          <w:cantSplit/>
          <w:tblHeader/>
        </w:trPr>
        <w:tc>
          <w:tcPr>
            <w:tcW w:w="1507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Characteristic</w:t>
            </w:r>
          </w:p>
        </w:tc>
        <w:tc>
          <w:tcPr>
            <w:tcW w:w="3713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Univariate analyses</w:t>
            </w:r>
          </w:p>
        </w:tc>
        <w:tc>
          <w:tcPr>
            <w:tcW w:w="3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Multivariate analyses</w:t>
            </w: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rPr>
                <w:b/>
                <w:kern w:val="0"/>
                <w:sz w:val="24"/>
              </w:rPr>
            </w:pPr>
          </w:p>
        </w:tc>
        <w:tc>
          <w:tcPr>
            <w:tcW w:w="101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HR</w:t>
            </w:r>
          </w:p>
        </w:tc>
        <w:tc>
          <w:tcPr>
            <w:tcW w:w="18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95% CI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p-value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HR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95% CI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p-value</w:t>
            </w: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widowControl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Age (years)</w:t>
            </w:r>
          </w:p>
        </w:tc>
        <w:tc>
          <w:tcPr>
            <w:tcW w:w="101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tabs>
                <w:tab w:val="left" w:pos="500"/>
              </w:tabs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0.371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MingLiU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MingLiU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tabs>
                <w:tab w:val="left" w:pos="500"/>
              </w:tabs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0.085</w:t>
            </w: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firstLineChars="100" w:firstLine="240"/>
              <w:jc w:val="right"/>
              <w:rPr>
                <w:bCs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≦</w:t>
            </w:r>
            <w:r>
              <w:rPr>
                <w:bCs/>
                <w:kern w:val="0"/>
                <w:sz w:val="24"/>
              </w:rPr>
              <w:t>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firstLineChars="100" w:firstLine="240"/>
              <w:jc w:val="right"/>
              <w:rPr>
                <w:bCs/>
                <w:kern w:val="0"/>
                <w:sz w:val="24"/>
              </w:rPr>
            </w:pPr>
            <w:r>
              <w:rPr>
                <w:bCs/>
                <w:color w:val="000000"/>
                <w:kern w:val="0"/>
                <w:sz w:val="24"/>
              </w:rPr>
              <w:t>&gt;</w:t>
            </w:r>
            <w:r>
              <w:rPr>
                <w:bCs/>
                <w:kern w:val="0"/>
                <w:sz w:val="24"/>
              </w:rPr>
              <w:t>65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1.350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0.700-2.603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tabs>
                <w:tab w:val="left" w:pos="500"/>
              </w:tabs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1.812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0.922-3.564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tabs>
                <w:tab w:val="left" w:pos="500"/>
              </w:tabs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MingLiU"/>
                <w:bCs/>
                <w:kern w:val="0"/>
                <w:sz w:val="24"/>
              </w:rPr>
            </w:pPr>
            <w:r>
              <w:rPr>
                <w:bCs/>
                <w:sz w:val="24"/>
              </w:rPr>
              <w:t>pT stage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0.122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bCs/>
                <w:iCs/>
                <w:sz w:val="24"/>
              </w:rPr>
            </w:pPr>
            <w:r>
              <w:rPr>
                <w:bCs/>
                <w:iCs/>
                <w:sz w:val="24"/>
              </w:rPr>
              <w:t>0.972</w:t>
            </w: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bCs/>
                <w:iCs/>
                <w:sz w:val="24"/>
              </w:rPr>
            </w:pP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2-4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25.287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0.419-15.250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3.474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1.734-5.367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bCs/>
                <w:iCs/>
                <w:sz w:val="24"/>
              </w:rPr>
            </w:pP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eastAsia="MingLiU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Lymph node metastasis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eastAsia="MingLiU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&lt;0.001</w:t>
            </w: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right"/>
              <w:rPr>
                <w:rFonts w:eastAsia="MingLiU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Negative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rFonts w:eastAsia="MingLiU"/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Positive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3.782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1.892-7.560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3.727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1.796-7.735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right="60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LETM1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&lt;0.001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bCs/>
                <w:iCs/>
                <w:sz w:val="24"/>
              </w:rPr>
              <w:t>0.006</w:t>
            </w: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jc w:val="righ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t>Negative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1.00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1.00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</w:p>
        </w:tc>
      </w:tr>
      <w:tr w:rsidR="00C56C0C" w:rsidTr="004760D2">
        <w:trPr>
          <w:cantSplit/>
          <w:tblHeader/>
        </w:trPr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right="60"/>
              <w:jc w:val="right"/>
              <w:rPr>
                <w:bCs/>
                <w:kern w:val="0"/>
                <w:sz w:val="24"/>
              </w:rPr>
            </w:pPr>
            <w:r>
              <w:rPr>
                <w:bCs/>
                <w:kern w:val="0"/>
                <w:sz w:val="24"/>
              </w:rPr>
              <w:lastRenderedPageBreak/>
              <w:t>Positive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0.306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0.159-0.591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0.395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0.203-0.766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C56C0C" w:rsidRDefault="00C56C0C" w:rsidP="004760D2">
            <w:pPr>
              <w:autoSpaceDE w:val="0"/>
              <w:autoSpaceDN w:val="0"/>
              <w:adjustRightInd w:val="0"/>
              <w:ind w:left="60" w:right="60"/>
              <w:jc w:val="center"/>
              <w:rPr>
                <w:kern w:val="0"/>
                <w:sz w:val="24"/>
              </w:rPr>
            </w:pPr>
          </w:p>
        </w:tc>
      </w:tr>
    </w:tbl>
    <w:p w:rsidR="00C56C0C" w:rsidRDefault="00C56C0C" w:rsidP="00C56C0C">
      <w:pPr>
        <w:rPr>
          <w:rStyle w:val="fontstyle01"/>
          <w:rFonts w:ascii="Times New Roman" w:hAnsi="Times New Roman"/>
        </w:rPr>
      </w:pPr>
    </w:p>
    <w:p w:rsidR="00C56C0C" w:rsidRDefault="00C56C0C" w:rsidP="00C56C0C">
      <w:pPr>
        <w:rPr>
          <w:rStyle w:val="fontstyle01"/>
          <w:rFonts w:ascii="Times New Roman" w:hAnsi="Times New Roman"/>
        </w:rPr>
      </w:pPr>
    </w:p>
    <w:p w:rsidR="001018A4" w:rsidRDefault="001018A4"/>
    <w:sectPr w:rsidR="001018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DengXian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6C0C"/>
    <w:rsid w:val="001018A4"/>
    <w:rsid w:val="00C56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56C0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rckmillipore.com/CN/zh/product/Anti-Vimentin-Antibody-clone-3CB2,MM_NF-MABT12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2020-01-23T07:19:00Z</dcterms:created>
  <dcterms:modified xsi:type="dcterms:W3CDTF">2020-01-23T07:21:00Z</dcterms:modified>
</cp:coreProperties>
</file>