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3CAF" w14:textId="77777777" w:rsidR="005C4545" w:rsidRPr="005C4545" w:rsidRDefault="005C4545" w:rsidP="005C4545">
      <w:pPr>
        <w:widowControl/>
        <w:spacing w:line="48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</w:rPr>
      </w:pPr>
      <w:bookmarkStart w:id="0" w:name="OLE_LINK33"/>
      <w:r w:rsidRPr="005C45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</w:rPr>
        <w:t>Molecular Antenna</w:t>
      </w:r>
      <w:bookmarkEnd w:id="0"/>
      <w:r w:rsidRPr="005C45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</w:rPr>
        <w:t xml:space="preserve">-sensitized Upconversion Nanoparticle for Temperature Monitored Precision Photothermal Therapy </w:t>
      </w:r>
    </w:p>
    <w:p w14:paraId="2EDFD00E" w14:textId="77777777" w:rsidR="005C4545" w:rsidRPr="005C4545" w:rsidRDefault="005C4545" w:rsidP="005C4545">
      <w:pPr>
        <w:widowControl/>
        <w:spacing w:line="48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</w:rPr>
      </w:pPr>
      <w:r w:rsidRPr="005C4545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</w:rPr>
        <w:t>Supplementary data</w:t>
      </w:r>
    </w:p>
    <w:p w14:paraId="5B3D71B1" w14:textId="77777777" w:rsidR="005C4545" w:rsidRPr="005C4545" w:rsidRDefault="005C4545" w:rsidP="005C4545">
      <w:pPr>
        <w:widowControl/>
        <w:spacing w:line="48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de-DE"/>
        </w:rPr>
      </w:pPr>
      <w:r w:rsidRPr="005C4545">
        <w:rPr>
          <w:rFonts w:ascii="Arial" w:eastAsia="Times New Roman" w:hAnsi="Arial" w:cs="Arial"/>
          <w:b/>
          <w:noProof/>
          <w:color w:val="000000"/>
          <w:kern w:val="0"/>
          <w:sz w:val="24"/>
          <w:szCs w:val="24"/>
        </w:rPr>
        <w:drawing>
          <wp:inline distT="0" distB="0" distL="0" distR="0" wp14:anchorId="2779D3AE" wp14:editId="07BA88AA">
            <wp:extent cx="4131037" cy="4128247"/>
            <wp:effectExtent l="0" t="0" r="3175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oleculor struc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217" cy="414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F6D83" w14:textId="77777777" w:rsidR="005C4545" w:rsidRPr="005C4545" w:rsidRDefault="005C4545" w:rsidP="005C4545">
      <w:pPr>
        <w:widowControl/>
        <w:spacing w:beforeLines="50" w:before="163" w:afterLines="100" w:after="326" w:line="48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</w:pP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Figure S1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. Molecular structures of IR-806, PL-PEG-NH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vertAlign w:val="subscript"/>
          <w:lang w:eastAsia="de-DE"/>
        </w:rPr>
        <w:t>2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and Folic acid.</w:t>
      </w:r>
    </w:p>
    <w:p w14:paraId="3B70E398" w14:textId="77777777" w:rsidR="005C4545" w:rsidRPr="005C4545" w:rsidRDefault="005C4545" w:rsidP="005C4545">
      <w:pPr>
        <w:widowControl/>
        <w:spacing w:beforeLines="50" w:before="163" w:afterLines="100" w:after="326" w:line="480" w:lineRule="auto"/>
        <w:ind w:leftChars="-67" w:left="-1" w:hangingChars="78" w:hanging="140"/>
        <w:jc w:val="center"/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</w:pPr>
      <w:r w:rsidRPr="005C4545">
        <w:rPr>
          <w:rFonts w:ascii="Arial" w:eastAsia="DengXian" w:hAnsi="Arial" w:cs="Arial"/>
          <w:noProof/>
          <w:color w:val="000000"/>
          <w:kern w:val="0"/>
          <w:sz w:val="18"/>
          <w:szCs w:val="18"/>
        </w:rPr>
        <w:lastRenderedPageBreak/>
        <w:drawing>
          <wp:inline distT="0" distB="0" distL="0" distR="0" wp14:anchorId="1A199C0E" wp14:editId="638484B3">
            <wp:extent cx="5703056" cy="3980329"/>
            <wp:effectExtent l="0" t="0" r="0" b="127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光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469" cy="400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DCAB1" w14:textId="55442BAF" w:rsidR="003A4D78" w:rsidRPr="005C4545" w:rsidRDefault="005C4545" w:rsidP="003A4D78">
      <w:pPr>
        <w:widowControl/>
        <w:spacing w:line="480" w:lineRule="auto"/>
        <w:ind w:firstLineChars="200" w:firstLine="361"/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</w:pP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Figure S2.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Spectra of different Er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vertAlign w:val="superscript"/>
          <w:lang w:eastAsia="de-DE"/>
        </w:rPr>
        <w:t>3+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-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Dopped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nanoparticles.</w:t>
      </w:r>
      <w:r w:rsidR="003A4D78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br/>
      </w:r>
      <w:r w:rsidR="003A4D78" w:rsidRPr="003A4D78">
        <w:rPr>
          <w:rFonts w:ascii="Arial" w:eastAsia="Times New Roman" w:hAnsi="Arial" w:cs="Arial"/>
          <w:b/>
          <w:bCs/>
          <w:color w:val="000000"/>
          <w:kern w:val="0"/>
          <w:sz w:val="22"/>
          <w:szCs w:val="20"/>
          <w:lang w:eastAsia="de-DE"/>
        </w:rPr>
        <w:t>Figure S2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NaYF</w:t>
      </w:r>
      <w:proofErr w:type="gram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4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:Yb</w:t>
      </w:r>
      <w:proofErr w:type="gram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,Er,Nd </w:t>
      </w:r>
      <w:proofErr w:type="spell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upconversion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nanocrystal with different Er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perscript"/>
          <w:lang w:eastAsia="de-DE"/>
        </w:rPr>
        <w:t>3+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doping were synthesized via a hydrothermal synthesis method. In a typical procedure for the synthesis of NaYF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4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:10%Yb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perscript"/>
          <w:lang w:eastAsia="de-DE"/>
        </w:rPr>
        <w:t>3+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, (2%,1.</w:t>
      </w:r>
      <w:r w:rsidR="003A4D78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6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%,1.</w:t>
      </w:r>
      <w:r w:rsidR="003A4D78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2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%,</w:t>
      </w:r>
      <w:r w:rsidR="003A4D78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0.8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% and 0.5</w:t>
      </w:r>
      <w:proofErr w:type="gram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% )Er</w:t>
      </w:r>
      <w:proofErr w:type="gram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perscript"/>
          <w:lang w:eastAsia="de-DE"/>
        </w:rPr>
        <w:t>3+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, (2% )Nd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perscript"/>
          <w:lang w:eastAsia="de-DE"/>
        </w:rPr>
        <w:t>3+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UCNs, 30 mmol of NaOH was dissolved in 3 mL of DI water. 8 mL of ethanol, and 20 mL of Oleic acid were added to the above solution with constant stirring for 20 min. Then, 0.885 mmol of Y(CH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COO)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·4H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2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O, 0.1 mmol of </w:t>
      </w:r>
      <w:proofErr w:type="spellStart"/>
      <w:proofErr w:type="gram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Yb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(</w:t>
      </w:r>
      <w:proofErr w:type="gram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CH3COO)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·4H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2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O, 0.005 mmol of </w:t>
      </w:r>
      <w:proofErr w:type="spell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Er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(CH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COO)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·4H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2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O and 0.01 mmol of Nd(CH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COO)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·4H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2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O (with and without) were added and stirred for another 30 min. Subsequently, 10 mL of ethanol containing 10 mmol of </w:t>
      </w:r>
      <w:proofErr w:type="spell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NaF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was added to the above solution and stirred for another 30 min. The resulting mixture was then transferred into a 50 mL stainless Teflon-lined hydrothermal 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lastRenderedPageBreak/>
        <w:t>reactor, to be sealed and heated to 190°C for 24 h. After that, the hydrothermal reactor was cooled to room temperature naturally, and the reaction mixture was separated through centrifugation (6000 rpm, 5 min). The precipitate was washed with cyclohexane, ethanol and DI-water several times and dried under vacuum at 40°C for 12h to obtain the NaYF</w:t>
      </w:r>
      <w:proofErr w:type="gram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bscript"/>
          <w:lang w:eastAsia="de-DE"/>
        </w:rPr>
        <w:t>4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:Yb</w:t>
      </w:r>
      <w:proofErr w:type="gram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,Er,Nd nanoparticles.</w:t>
      </w:r>
    </w:p>
    <w:p w14:paraId="74D80E50" w14:textId="029A1F19" w:rsidR="005C4545" w:rsidRPr="005C4545" w:rsidRDefault="005C4545" w:rsidP="005C4545">
      <w:pPr>
        <w:widowControl/>
        <w:spacing w:beforeLines="50" w:before="163" w:afterLines="100" w:after="326" w:line="480" w:lineRule="auto"/>
        <w:ind w:firstLineChars="630" w:firstLine="1134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</w:pPr>
    </w:p>
    <w:p w14:paraId="1FAA19F0" w14:textId="643C3EF2" w:rsidR="005C4545" w:rsidRPr="005C4545" w:rsidRDefault="005C4545" w:rsidP="005C4545">
      <w:pPr>
        <w:widowControl/>
        <w:tabs>
          <w:tab w:val="left" w:pos="199"/>
        </w:tabs>
        <w:spacing w:line="480" w:lineRule="auto"/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</w:pPr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ab/>
      </w:r>
    </w:p>
    <w:p w14:paraId="5BB1BDDD" w14:textId="77777777" w:rsidR="005C4545" w:rsidRPr="005C4545" w:rsidRDefault="005C4545" w:rsidP="005C4545">
      <w:pPr>
        <w:widowControl/>
        <w:tabs>
          <w:tab w:val="left" w:pos="199"/>
        </w:tabs>
        <w:spacing w:line="48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</w:rPr>
      </w:pPr>
    </w:p>
    <w:p w14:paraId="4CCDB188" w14:textId="77777777" w:rsidR="005C4545" w:rsidRPr="005C4545" w:rsidRDefault="005C4545" w:rsidP="005C4545">
      <w:pPr>
        <w:widowControl/>
        <w:spacing w:line="48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</w:rPr>
      </w:pPr>
      <w:r w:rsidRPr="005C4545">
        <w:rPr>
          <w:rFonts w:ascii="Arial" w:eastAsia="Times New Roman" w:hAnsi="Arial" w:cs="Arial"/>
          <w:noProof/>
          <w:color w:val="000000"/>
          <w:kern w:val="0"/>
          <w:sz w:val="24"/>
          <w:szCs w:val="24"/>
        </w:rPr>
        <w:drawing>
          <wp:inline distT="0" distB="0" distL="0" distR="0" wp14:anchorId="6DE3A908" wp14:editId="51D88839">
            <wp:extent cx="4356847" cy="3026608"/>
            <wp:effectExtent l="0" t="0" r="5715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图2 concentration absorption ANALYS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593" cy="30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98766" w14:textId="38794F7E" w:rsidR="003A4D78" w:rsidRPr="005C4545" w:rsidRDefault="005C4545" w:rsidP="003A4D78">
      <w:pPr>
        <w:widowControl/>
        <w:tabs>
          <w:tab w:val="left" w:pos="199"/>
        </w:tabs>
        <w:spacing w:line="480" w:lineRule="auto"/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</w:pP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Figure S3.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Absorption spectra of IR-806 at different concentrations. (</w:t>
      </w: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a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) Absorption spectrum of IR-806. (</w:t>
      </w: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b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) The absorbance peak ratio (P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vertAlign w:val="subscript"/>
          <w:lang w:eastAsia="de-DE"/>
        </w:rPr>
        <w:t>720 nm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/P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vertAlign w:val="subscript"/>
          <w:lang w:eastAsia="de-DE"/>
        </w:rPr>
        <w:t>800 nm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) of IR-806. (</w:t>
      </w: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c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) </w:t>
      </w:r>
      <w:r w:rsidR="008255E6"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Comparation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of the absorption peaks at 720 nm range. (</w:t>
      </w: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d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) </w:t>
      </w:r>
      <w:r w:rsidR="008255E6"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Comparation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of the absorption peaks at 800 nm.</w:t>
      </w:r>
      <w:r w:rsidR="003A4D78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br/>
      </w:r>
      <w:r w:rsidR="003A4D78" w:rsidRPr="003A4D78">
        <w:rPr>
          <w:rFonts w:ascii="Arial" w:eastAsia="Times New Roman" w:hAnsi="Arial" w:cs="Arial"/>
          <w:b/>
          <w:bCs/>
          <w:color w:val="000000"/>
          <w:kern w:val="0"/>
          <w:sz w:val="22"/>
          <w:szCs w:val="20"/>
          <w:lang w:eastAsia="de-DE"/>
        </w:rPr>
        <w:t>Figure S3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IR-806 was dissolved in water (1-128 </w:t>
      </w:r>
      <w:proofErr w:type="spell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μM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) and put into a </w:t>
      </w:r>
      <w:proofErr w:type="spell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quartzose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cuvette. 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lastRenderedPageBreak/>
        <w:t>After that, the absorption spectra with wavelength from 450 to1000 nm were measured by a fiber spectrometer (QE65000, Ocean Optical Co., Ltd., Dunedin, USA).</w:t>
      </w:r>
    </w:p>
    <w:p w14:paraId="0A209DFA" w14:textId="62D62EC1" w:rsidR="005C4545" w:rsidRPr="005C4545" w:rsidRDefault="005C4545" w:rsidP="005C4545">
      <w:pPr>
        <w:widowControl/>
        <w:spacing w:beforeLines="50" w:before="163" w:afterLines="100" w:after="326" w:line="48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</w:pPr>
    </w:p>
    <w:p w14:paraId="1BBAFDA2" w14:textId="77777777" w:rsidR="005C4545" w:rsidRPr="005C4545" w:rsidRDefault="005C4545" w:rsidP="005C4545">
      <w:pPr>
        <w:widowControl/>
        <w:spacing w:line="48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</w:rPr>
      </w:pPr>
      <w:r w:rsidRPr="005C4545">
        <w:rPr>
          <w:rFonts w:ascii="Arial" w:eastAsia="Times New Roman" w:hAnsi="Arial" w:cs="Arial"/>
          <w:noProof/>
          <w:color w:val="000000"/>
          <w:kern w:val="0"/>
          <w:sz w:val="24"/>
          <w:szCs w:val="24"/>
        </w:rPr>
        <w:drawing>
          <wp:inline distT="0" distB="0" distL="0" distR="0" wp14:anchorId="7AEED755" wp14:editId="37C7D5E9">
            <wp:extent cx="3886200" cy="271229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 s4 980 nm spectr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526" cy="272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1FE5B" w14:textId="288806EF" w:rsidR="003A4D78" w:rsidRPr="005C4545" w:rsidRDefault="005C4545" w:rsidP="003A4D78">
      <w:pPr>
        <w:widowControl/>
        <w:spacing w:line="480" w:lineRule="auto"/>
        <w:ind w:firstLine="420"/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</w:pP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Figure S4.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 xml:space="preserve"> Luminescence spectrum of the nanocrystal excited by a 980 nm laser.</w:t>
      </w:r>
      <w:r w:rsidR="003A4D78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br/>
      </w:r>
      <w:r w:rsidR="003A4D78" w:rsidRPr="003A4D78">
        <w:rPr>
          <w:rFonts w:ascii="Arial" w:eastAsia="Times New Roman" w:hAnsi="Arial" w:cs="Arial"/>
          <w:b/>
          <w:bCs/>
          <w:color w:val="000000"/>
          <w:kern w:val="0"/>
          <w:sz w:val="22"/>
          <w:szCs w:val="20"/>
          <w:lang w:eastAsia="de-DE"/>
        </w:rPr>
        <w:t>Figure S4</w:t>
      </w:r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Synthesized </w:t>
      </w:r>
      <w:proofErr w:type="spellStart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Upconversion</w:t>
      </w:r>
      <w:proofErr w:type="spellEnd"/>
      <w:r w:rsidR="003A4D78"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nanoparticles was dissolved in pure water (0.5 mg/ml) and excited by a 980 nm laser. The spectrum of the nanoparticles with wavelengths from 500 to 750 nm was detected by the fiber spectrometer mentioned above. </w:t>
      </w:r>
    </w:p>
    <w:p w14:paraId="6FA0F7A1" w14:textId="6D9EA8F1" w:rsidR="005C4545" w:rsidRPr="005C4545" w:rsidRDefault="005C4545" w:rsidP="005C4545">
      <w:pPr>
        <w:widowControl/>
        <w:spacing w:line="480" w:lineRule="auto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</w:pPr>
    </w:p>
    <w:p w14:paraId="3F322646" w14:textId="77777777" w:rsidR="005C4545" w:rsidRPr="005C4545" w:rsidRDefault="0075178E" w:rsidP="005C4545">
      <w:pPr>
        <w:widowControl/>
        <w:spacing w:line="48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de-DE"/>
        </w:rPr>
      </w:pPr>
      <w:r>
        <w:rPr>
          <w:rFonts w:ascii="Arial" w:eastAsia="Times New Roman" w:hAnsi="Arial" w:cs="Arial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08661334" wp14:editId="4EFB7746">
            <wp:extent cx="4557370" cy="318061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rk toxicit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245" cy="318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31311" w14:textId="77777777" w:rsidR="005C4545" w:rsidRPr="005C4545" w:rsidRDefault="005C4545" w:rsidP="005C4545">
      <w:pPr>
        <w:widowControl/>
        <w:spacing w:line="480" w:lineRule="auto"/>
        <w:jc w:val="center"/>
        <w:rPr>
          <w:rFonts w:ascii="Arial" w:eastAsia="Times New Roman" w:hAnsi="Arial" w:cs="Arial"/>
          <w:b/>
          <w:color w:val="FF0000"/>
          <w:kern w:val="0"/>
          <w:sz w:val="18"/>
          <w:szCs w:val="18"/>
          <w:lang w:eastAsia="de-DE"/>
        </w:rPr>
      </w:pPr>
      <w:r w:rsidRPr="005C4545">
        <w:rPr>
          <w:rFonts w:ascii="Arial" w:eastAsia="Times New Roman" w:hAnsi="Arial" w:cs="Arial"/>
          <w:b/>
          <w:color w:val="000000"/>
          <w:kern w:val="0"/>
          <w:sz w:val="18"/>
          <w:szCs w:val="18"/>
          <w:lang w:eastAsia="de-DE"/>
        </w:rPr>
        <w:t>Figure S5</w:t>
      </w:r>
      <w:r w:rsidRPr="005C4545">
        <w:rPr>
          <w:rFonts w:ascii="Arial" w:eastAsia="Times New Roman" w:hAnsi="Arial" w:cs="Arial"/>
          <w:color w:val="000000"/>
          <w:kern w:val="0"/>
          <w:sz w:val="18"/>
          <w:szCs w:val="18"/>
          <w:lang w:eastAsia="de-DE"/>
        </w:rPr>
        <w:t>. Dark cytotoxicity of the NPs at different concentrations.</w:t>
      </w:r>
    </w:p>
    <w:p w14:paraId="652F192A" w14:textId="77777777" w:rsidR="005C4545" w:rsidRPr="005C4545" w:rsidRDefault="005C4545" w:rsidP="005C4545">
      <w:pPr>
        <w:widowControl/>
        <w:spacing w:line="480" w:lineRule="auto"/>
        <w:rPr>
          <w:rFonts w:ascii="Arial" w:eastAsia="Times New Roman" w:hAnsi="Arial" w:cs="Arial"/>
          <w:color w:val="000000"/>
          <w:kern w:val="0"/>
          <w:sz w:val="24"/>
          <w:szCs w:val="20"/>
          <w:lang w:eastAsia="de-DE"/>
        </w:rPr>
      </w:pPr>
    </w:p>
    <w:p w14:paraId="22772366" w14:textId="403D8E82" w:rsidR="003A4D78" w:rsidRPr="005C4545" w:rsidRDefault="003A4D78" w:rsidP="003A4D78">
      <w:pPr>
        <w:widowControl/>
        <w:spacing w:line="480" w:lineRule="auto"/>
        <w:ind w:firstLine="420"/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</w:pPr>
      <w:r w:rsidRPr="003A4D78">
        <w:rPr>
          <w:rFonts w:ascii="Arial" w:eastAsia="Times New Roman" w:hAnsi="Arial" w:cs="Arial"/>
          <w:b/>
          <w:bCs/>
          <w:color w:val="000000"/>
          <w:kern w:val="0"/>
          <w:sz w:val="22"/>
          <w:szCs w:val="20"/>
          <w:lang w:eastAsia="de-DE"/>
        </w:rPr>
        <w:t>Figure S5</w:t>
      </w:r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EMT-6 cells were collected and then seeded into 96-well plates (10</w:t>
      </w:r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vertAlign w:val="superscript"/>
          <w:lang w:eastAsia="de-DE"/>
        </w:rPr>
        <w:t>4</w:t>
      </w:r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cells per well). After cells being cultured for 24 h at 37 °C in a humidified incubator, NPs in PBS solution (50 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μl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) were added to the wells with different concentrations (0-3.2 mg/ml). After incubation at 37 °C for 12 h, 500 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μL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of 10% CCK-8 1640 solution was added to each well. After 2 h, the absorbance value at 450 nm was measured with a 96-well plate reader (Flx800, Bio-Tek instrument 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inc.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, Thermo, Germany) to determine the cell’s viability. The cell viability was calculated as follows: cell viability (%</w:t>
      </w:r>
      <w:bookmarkStart w:id="1" w:name="_GoBack"/>
      <w:bookmarkEnd w:id="1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of control) = 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ODTre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/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ODCon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× 100% (where 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ODTre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is the absorbance value of treated cells; </w:t>
      </w:r>
      <w:proofErr w:type="spellStart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ODCon</w:t>
      </w:r>
      <w:proofErr w:type="spellEnd"/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is the absorbance value of untreated cells). Four </w:t>
      </w:r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>samples</w:t>
      </w:r>
      <w:r w:rsidRPr="005C4545">
        <w:rPr>
          <w:rFonts w:ascii="Arial" w:eastAsia="Times New Roman" w:hAnsi="Arial" w:cs="Arial"/>
          <w:color w:val="000000"/>
          <w:kern w:val="0"/>
          <w:sz w:val="22"/>
          <w:szCs w:val="20"/>
          <w:lang w:eastAsia="de-DE"/>
        </w:rPr>
        <w:t xml:space="preserve"> were used for each study.</w:t>
      </w:r>
    </w:p>
    <w:p w14:paraId="5AE53D9F" w14:textId="77777777" w:rsidR="001921D1" w:rsidRPr="005C4545" w:rsidRDefault="001921D1" w:rsidP="005C4545"/>
    <w:sectPr w:rsidR="001921D1" w:rsidRPr="005C4545" w:rsidSect="00D663D3">
      <w:footerReference w:type="default" r:id="rId12"/>
      <w:pgSz w:w="11906" w:h="16838"/>
      <w:pgMar w:top="1440" w:right="1701" w:bottom="1440" w:left="1701" w:header="851" w:footer="992" w:gutter="0"/>
      <w:lnNumType w:countBy="1" w:restart="continuous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EC944" w14:textId="77777777" w:rsidR="00B9063D" w:rsidRDefault="00B9063D" w:rsidP="00F26562">
      <w:r>
        <w:separator/>
      </w:r>
    </w:p>
  </w:endnote>
  <w:endnote w:type="continuationSeparator" w:id="0">
    <w:p w14:paraId="7CCF919D" w14:textId="77777777" w:rsidR="00B9063D" w:rsidRDefault="00B9063D" w:rsidP="00F2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364872"/>
      <w:docPartObj>
        <w:docPartGallery w:val="Page Numbers (Bottom of Page)"/>
        <w:docPartUnique/>
      </w:docPartObj>
    </w:sdtPr>
    <w:sdtEndPr/>
    <w:sdtContent>
      <w:p w14:paraId="4CCC8932" w14:textId="77777777" w:rsidR="00995540" w:rsidRDefault="00A72B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5E6" w:rsidRPr="008255E6">
          <w:rPr>
            <w:noProof/>
            <w:lang w:val="zh-CN"/>
          </w:rPr>
          <w:t>5</w:t>
        </w:r>
        <w:r>
          <w:fldChar w:fldCharType="end"/>
        </w:r>
      </w:p>
    </w:sdtContent>
  </w:sdt>
  <w:p w14:paraId="5DB830DC" w14:textId="77777777" w:rsidR="00995540" w:rsidRDefault="00B90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9DB3" w14:textId="77777777" w:rsidR="00B9063D" w:rsidRDefault="00B9063D" w:rsidP="00F26562">
      <w:r>
        <w:separator/>
      </w:r>
    </w:p>
  </w:footnote>
  <w:footnote w:type="continuationSeparator" w:id="0">
    <w:p w14:paraId="7CFF25F2" w14:textId="77777777" w:rsidR="00B9063D" w:rsidRDefault="00B9063D" w:rsidP="00F2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333A2"/>
    <w:multiLevelType w:val="hybridMultilevel"/>
    <w:tmpl w:val="A950E72A"/>
    <w:lvl w:ilvl="0" w:tplc="1B4C9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8A63A0"/>
    <w:multiLevelType w:val="hybridMultilevel"/>
    <w:tmpl w:val="A5C88764"/>
    <w:lvl w:ilvl="0" w:tplc="B782A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emical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52959vasxpf8evx91p0xpvpw2rea2wraz0&quot;&gt;My EndNote Library&lt;record-ids&gt;&lt;item&gt;1341&lt;/item&gt;&lt;item&gt;1342&lt;/item&gt;&lt;item&gt;1344&lt;/item&gt;&lt;item&gt;1346&lt;/item&gt;&lt;item&gt;1349&lt;/item&gt;&lt;item&gt;1350&lt;/item&gt;&lt;item&gt;1351&lt;/item&gt;&lt;item&gt;1352&lt;/item&gt;&lt;item&gt;1353&lt;/item&gt;&lt;item&gt;1354&lt;/item&gt;&lt;item&gt;1355&lt;/item&gt;&lt;item&gt;1356&lt;/item&gt;&lt;item&gt;1357&lt;/item&gt;&lt;item&gt;1359&lt;/item&gt;&lt;item&gt;1360&lt;/item&gt;&lt;item&gt;1361&lt;/item&gt;&lt;item&gt;1362&lt;/item&gt;&lt;item&gt;1363&lt;/item&gt;&lt;item&gt;1364&lt;/item&gt;&lt;item&gt;1365&lt;/item&gt;&lt;item&gt;1366&lt;/item&gt;&lt;item&gt;1367&lt;/item&gt;&lt;item&gt;1368&lt;/item&gt;&lt;item&gt;1369&lt;/item&gt;&lt;item&gt;1370&lt;/item&gt;&lt;item&gt;1371&lt;/item&gt;&lt;/record-ids&gt;&lt;/item&gt;&lt;/Libraries&gt;"/>
  </w:docVars>
  <w:rsids>
    <w:rsidRoot w:val="00B1700C"/>
    <w:rsid w:val="0000029B"/>
    <w:rsid w:val="000010FE"/>
    <w:rsid w:val="00003093"/>
    <w:rsid w:val="000034F1"/>
    <w:rsid w:val="00005727"/>
    <w:rsid w:val="00010731"/>
    <w:rsid w:val="00010AF3"/>
    <w:rsid w:val="00010F41"/>
    <w:rsid w:val="000117E4"/>
    <w:rsid w:val="00014952"/>
    <w:rsid w:val="00015C4B"/>
    <w:rsid w:val="00021086"/>
    <w:rsid w:val="000266FC"/>
    <w:rsid w:val="0003067F"/>
    <w:rsid w:val="000311EF"/>
    <w:rsid w:val="00031743"/>
    <w:rsid w:val="00032B39"/>
    <w:rsid w:val="0003325C"/>
    <w:rsid w:val="00033E7F"/>
    <w:rsid w:val="00034013"/>
    <w:rsid w:val="00034C6E"/>
    <w:rsid w:val="000358CB"/>
    <w:rsid w:val="00035900"/>
    <w:rsid w:val="0003607B"/>
    <w:rsid w:val="000427F5"/>
    <w:rsid w:val="00043800"/>
    <w:rsid w:val="000475FA"/>
    <w:rsid w:val="0005070B"/>
    <w:rsid w:val="000528C7"/>
    <w:rsid w:val="00052C76"/>
    <w:rsid w:val="00061FC3"/>
    <w:rsid w:val="000624F3"/>
    <w:rsid w:val="00066078"/>
    <w:rsid w:val="00066449"/>
    <w:rsid w:val="00067B86"/>
    <w:rsid w:val="00071545"/>
    <w:rsid w:val="00083810"/>
    <w:rsid w:val="00084AFA"/>
    <w:rsid w:val="00087067"/>
    <w:rsid w:val="00091B3E"/>
    <w:rsid w:val="00093504"/>
    <w:rsid w:val="00093A31"/>
    <w:rsid w:val="000951F3"/>
    <w:rsid w:val="000958C1"/>
    <w:rsid w:val="00095DED"/>
    <w:rsid w:val="00096891"/>
    <w:rsid w:val="00097D44"/>
    <w:rsid w:val="000A505E"/>
    <w:rsid w:val="000A6BF7"/>
    <w:rsid w:val="000C4708"/>
    <w:rsid w:val="000D3E98"/>
    <w:rsid w:val="000D77A3"/>
    <w:rsid w:val="000E3191"/>
    <w:rsid w:val="000E7CFE"/>
    <w:rsid w:val="000E7F1C"/>
    <w:rsid w:val="000F0985"/>
    <w:rsid w:val="000F0F5C"/>
    <w:rsid w:val="000F3CB9"/>
    <w:rsid w:val="000F5C54"/>
    <w:rsid w:val="00101096"/>
    <w:rsid w:val="00103887"/>
    <w:rsid w:val="001052AD"/>
    <w:rsid w:val="00106747"/>
    <w:rsid w:val="001078ED"/>
    <w:rsid w:val="0011241F"/>
    <w:rsid w:val="00112C59"/>
    <w:rsid w:val="00113949"/>
    <w:rsid w:val="00113A45"/>
    <w:rsid w:val="0011722F"/>
    <w:rsid w:val="00117B99"/>
    <w:rsid w:val="001213E9"/>
    <w:rsid w:val="00124223"/>
    <w:rsid w:val="00125465"/>
    <w:rsid w:val="00127ACF"/>
    <w:rsid w:val="00130AC0"/>
    <w:rsid w:val="0013240C"/>
    <w:rsid w:val="00133AF6"/>
    <w:rsid w:val="00135740"/>
    <w:rsid w:val="0013798B"/>
    <w:rsid w:val="0014261F"/>
    <w:rsid w:val="0014385B"/>
    <w:rsid w:val="00146A72"/>
    <w:rsid w:val="00150D2A"/>
    <w:rsid w:val="001569BE"/>
    <w:rsid w:val="001618D5"/>
    <w:rsid w:val="00161B80"/>
    <w:rsid w:val="001631DC"/>
    <w:rsid w:val="001679CB"/>
    <w:rsid w:val="00167E6A"/>
    <w:rsid w:val="00171412"/>
    <w:rsid w:val="0017236C"/>
    <w:rsid w:val="00173042"/>
    <w:rsid w:val="00175F0E"/>
    <w:rsid w:val="0017667E"/>
    <w:rsid w:val="00180700"/>
    <w:rsid w:val="00182BBD"/>
    <w:rsid w:val="001846C2"/>
    <w:rsid w:val="0018707F"/>
    <w:rsid w:val="00190159"/>
    <w:rsid w:val="00190CD6"/>
    <w:rsid w:val="00191BA6"/>
    <w:rsid w:val="001920A6"/>
    <w:rsid w:val="001921D1"/>
    <w:rsid w:val="001959F4"/>
    <w:rsid w:val="00196861"/>
    <w:rsid w:val="001A0712"/>
    <w:rsid w:val="001A45D9"/>
    <w:rsid w:val="001A6FC2"/>
    <w:rsid w:val="001B2A26"/>
    <w:rsid w:val="001B494A"/>
    <w:rsid w:val="001B4AC2"/>
    <w:rsid w:val="001B5827"/>
    <w:rsid w:val="001B59F9"/>
    <w:rsid w:val="001B5BDF"/>
    <w:rsid w:val="001B73AA"/>
    <w:rsid w:val="001C60B6"/>
    <w:rsid w:val="001D21D9"/>
    <w:rsid w:val="001D2608"/>
    <w:rsid w:val="001D3BD5"/>
    <w:rsid w:val="001D6456"/>
    <w:rsid w:val="001E0338"/>
    <w:rsid w:val="001E4C49"/>
    <w:rsid w:val="001F16A8"/>
    <w:rsid w:val="001F2830"/>
    <w:rsid w:val="002038DA"/>
    <w:rsid w:val="0020581E"/>
    <w:rsid w:val="00205935"/>
    <w:rsid w:val="00217CD3"/>
    <w:rsid w:val="002203F7"/>
    <w:rsid w:val="00225402"/>
    <w:rsid w:val="0022597E"/>
    <w:rsid w:val="0022625A"/>
    <w:rsid w:val="0023166A"/>
    <w:rsid w:val="0023776D"/>
    <w:rsid w:val="002408D4"/>
    <w:rsid w:val="00244C69"/>
    <w:rsid w:val="00245D78"/>
    <w:rsid w:val="00250CE6"/>
    <w:rsid w:val="00256600"/>
    <w:rsid w:val="00257A61"/>
    <w:rsid w:val="00263C75"/>
    <w:rsid w:val="00264E12"/>
    <w:rsid w:val="00270D99"/>
    <w:rsid w:val="002717CF"/>
    <w:rsid w:val="00272767"/>
    <w:rsid w:val="0027313B"/>
    <w:rsid w:val="00274BFC"/>
    <w:rsid w:val="002761AD"/>
    <w:rsid w:val="0027668F"/>
    <w:rsid w:val="00276F6B"/>
    <w:rsid w:val="00281369"/>
    <w:rsid w:val="00283769"/>
    <w:rsid w:val="00283C5E"/>
    <w:rsid w:val="00284DC2"/>
    <w:rsid w:val="002855A4"/>
    <w:rsid w:val="00285FA2"/>
    <w:rsid w:val="00291AB9"/>
    <w:rsid w:val="002944AC"/>
    <w:rsid w:val="002A0D2B"/>
    <w:rsid w:val="002A6C7C"/>
    <w:rsid w:val="002A722F"/>
    <w:rsid w:val="002B0282"/>
    <w:rsid w:val="002B4E99"/>
    <w:rsid w:val="002B58D3"/>
    <w:rsid w:val="002B65A9"/>
    <w:rsid w:val="002B6A82"/>
    <w:rsid w:val="002C284B"/>
    <w:rsid w:val="002C550C"/>
    <w:rsid w:val="002C67E4"/>
    <w:rsid w:val="002C74E0"/>
    <w:rsid w:val="002D7B06"/>
    <w:rsid w:val="002E081E"/>
    <w:rsid w:val="002E1C38"/>
    <w:rsid w:val="002E2CFD"/>
    <w:rsid w:val="002E4D92"/>
    <w:rsid w:val="002E4E3B"/>
    <w:rsid w:val="002F31EA"/>
    <w:rsid w:val="002F3B71"/>
    <w:rsid w:val="003004E1"/>
    <w:rsid w:val="00303DEC"/>
    <w:rsid w:val="00304032"/>
    <w:rsid w:val="003053D6"/>
    <w:rsid w:val="00305FF7"/>
    <w:rsid w:val="003063FF"/>
    <w:rsid w:val="003105FC"/>
    <w:rsid w:val="00310841"/>
    <w:rsid w:val="00316B2D"/>
    <w:rsid w:val="00316C49"/>
    <w:rsid w:val="00323BF0"/>
    <w:rsid w:val="003245A3"/>
    <w:rsid w:val="00324EA1"/>
    <w:rsid w:val="00326906"/>
    <w:rsid w:val="00330936"/>
    <w:rsid w:val="00331001"/>
    <w:rsid w:val="00331FB8"/>
    <w:rsid w:val="003343F5"/>
    <w:rsid w:val="0034227C"/>
    <w:rsid w:val="00342943"/>
    <w:rsid w:val="0035084A"/>
    <w:rsid w:val="00354C2B"/>
    <w:rsid w:val="00362026"/>
    <w:rsid w:val="0036296B"/>
    <w:rsid w:val="00363C29"/>
    <w:rsid w:val="00366879"/>
    <w:rsid w:val="00367DD8"/>
    <w:rsid w:val="003734E3"/>
    <w:rsid w:val="00375FB6"/>
    <w:rsid w:val="0037638E"/>
    <w:rsid w:val="00380AEE"/>
    <w:rsid w:val="00385DCB"/>
    <w:rsid w:val="0038744C"/>
    <w:rsid w:val="00391165"/>
    <w:rsid w:val="00393223"/>
    <w:rsid w:val="003A4D78"/>
    <w:rsid w:val="003A70A8"/>
    <w:rsid w:val="003B6FA3"/>
    <w:rsid w:val="003B7FCD"/>
    <w:rsid w:val="003C0168"/>
    <w:rsid w:val="003D49A5"/>
    <w:rsid w:val="003D4D99"/>
    <w:rsid w:val="003E12E3"/>
    <w:rsid w:val="003E17A6"/>
    <w:rsid w:val="003E2206"/>
    <w:rsid w:val="003E353B"/>
    <w:rsid w:val="003E3D44"/>
    <w:rsid w:val="003F69E2"/>
    <w:rsid w:val="003F7D08"/>
    <w:rsid w:val="004052D2"/>
    <w:rsid w:val="00406F3E"/>
    <w:rsid w:val="004073FA"/>
    <w:rsid w:val="00411ACA"/>
    <w:rsid w:val="00411F13"/>
    <w:rsid w:val="004141A5"/>
    <w:rsid w:val="0042407C"/>
    <w:rsid w:val="0042511F"/>
    <w:rsid w:val="004270BC"/>
    <w:rsid w:val="004300B4"/>
    <w:rsid w:val="00430480"/>
    <w:rsid w:val="00434204"/>
    <w:rsid w:val="004360BA"/>
    <w:rsid w:val="004366CE"/>
    <w:rsid w:val="00436968"/>
    <w:rsid w:val="0043740F"/>
    <w:rsid w:val="00441F37"/>
    <w:rsid w:val="00443328"/>
    <w:rsid w:val="00444326"/>
    <w:rsid w:val="00444A4E"/>
    <w:rsid w:val="004470AA"/>
    <w:rsid w:val="004516FF"/>
    <w:rsid w:val="004655EB"/>
    <w:rsid w:val="00471E11"/>
    <w:rsid w:val="00473EE1"/>
    <w:rsid w:val="004750A6"/>
    <w:rsid w:val="00475A08"/>
    <w:rsid w:val="00484D1F"/>
    <w:rsid w:val="004866BD"/>
    <w:rsid w:val="004874FB"/>
    <w:rsid w:val="004901B4"/>
    <w:rsid w:val="00490992"/>
    <w:rsid w:val="00490FAC"/>
    <w:rsid w:val="00491F58"/>
    <w:rsid w:val="004C07D8"/>
    <w:rsid w:val="004C24C9"/>
    <w:rsid w:val="004C7FF2"/>
    <w:rsid w:val="004D1586"/>
    <w:rsid w:val="004D3F25"/>
    <w:rsid w:val="004D4BE4"/>
    <w:rsid w:val="004D6A2A"/>
    <w:rsid w:val="004D7765"/>
    <w:rsid w:val="004E0863"/>
    <w:rsid w:val="004E5BA6"/>
    <w:rsid w:val="004E7084"/>
    <w:rsid w:val="004E73B7"/>
    <w:rsid w:val="004F1765"/>
    <w:rsid w:val="004F2D01"/>
    <w:rsid w:val="004F4CAF"/>
    <w:rsid w:val="004F67CD"/>
    <w:rsid w:val="005021A4"/>
    <w:rsid w:val="00505F9F"/>
    <w:rsid w:val="00510E36"/>
    <w:rsid w:val="0051642B"/>
    <w:rsid w:val="005304AB"/>
    <w:rsid w:val="00533BB8"/>
    <w:rsid w:val="00533D7B"/>
    <w:rsid w:val="00535FFD"/>
    <w:rsid w:val="00540FFD"/>
    <w:rsid w:val="00541F33"/>
    <w:rsid w:val="00544A4F"/>
    <w:rsid w:val="00550292"/>
    <w:rsid w:val="0055182F"/>
    <w:rsid w:val="005522CB"/>
    <w:rsid w:val="0055361F"/>
    <w:rsid w:val="00553F97"/>
    <w:rsid w:val="005544BE"/>
    <w:rsid w:val="005624DB"/>
    <w:rsid w:val="00564751"/>
    <w:rsid w:val="00565011"/>
    <w:rsid w:val="00565C1F"/>
    <w:rsid w:val="00574C33"/>
    <w:rsid w:val="00577B0F"/>
    <w:rsid w:val="005805CE"/>
    <w:rsid w:val="00580B50"/>
    <w:rsid w:val="005840FF"/>
    <w:rsid w:val="00587A23"/>
    <w:rsid w:val="005A1BD1"/>
    <w:rsid w:val="005A5028"/>
    <w:rsid w:val="005A54CA"/>
    <w:rsid w:val="005B0FB7"/>
    <w:rsid w:val="005B2971"/>
    <w:rsid w:val="005B311E"/>
    <w:rsid w:val="005B314A"/>
    <w:rsid w:val="005B5ABB"/>
    <w:rsid w:val="005C07A4"/>
    <w:rsid w:val="005C21A3"/>
    <w:rsid w:val="005C25F2"/>
    <w:rsid w:val="005C375A"/>
    <w:rsid w:val="005C4545"/>
    <w:rsid w:val="005C6047"/>
    <w:rsid w:val="005C7840"/>
    <w:rsid w:val="005D041C"/>
    <w:rsid w:val="005D7A03"/>
    <w:rsid w:val="005E33D6"/>
    <w:rsid w:val="005E62E2"/>
    <w:rsid w:val="005F1EC3"/>
    <w:rsid w:val="005F1FF7"/>
    <w:rsid w:val="005F25BB"/>
    <w:rsid w:val="005F42D9"/>
    <w:rsid w:val="005F66FA"/>
    <w:rsid w:val="00604472"/>
    <w:rsid w:val="006046FE"/>
    <w:rsid w:val="006053F2"/>
    <w:rsid w:val="00612E46"/>
    <w:rsid w:val="006158A5"/>
    <w:rsid w:val="00617C46"/>
    <w:rsid w:val="006209EC"/>
    <w:rsid w:val="0062174E"/>
    <w:rsid w:val="00626930"/>
    <w:rsid w:val="006272C9"/>
    <w:rsid w:val="00627342"/>
    <w:rsid w:val="00631ACF"/>
    <w:rsid w:val="00634C24"/>
    <w:rsid w:val="00635916"/>
    <w:rsid w:val="006372FD"/>
    <w:rsid w:val="0064050B"/>
    <w:rsid w:val="00642736"/>
    <w:rsid w:val="00642F6D"/>
    <w:rsid w:val="00645795"/>
    <w:rsid w:val="00647BF0"/>
    <w:rsid w:val="00653A4B"/>
    <w:rsid w:val="006546B6"/>
    <w:rsid w:val="00654A91"/>
    <w:rsid w:val="00654FD0"/>
    <w:rsid w:val="00660CCE"/>
    <w:rsid w:val="00664C3F"/>
    <w:rsid w:val="00671E04"/>
    <w:rsid w:val="00674F66"/>
    <w:rsid w:val="00683E6D"/>
    <w:rsid w:val="0069339B"/>
    <w:rsid w:val="00694263"/>
    <w:rsid w:val="006A48A4"/>
    <w:rsid w:val="006A4F92"/>
    <w:rsid w:val="006B008E"/>
    <w:rsid w:val="006B041E"/>
    <w:rsid w:val="006B2906"/>
    <w:rsid w:val="006B3F61"/>
    <w:rsid w:val="006B52AF"/>
    <w:rsid w:val="006B626F"/>
    <w:rsid w:val="006B6C31"/>
    <w:rsid w:val="006C418E"/>
    <w:rsid w:val="006C73EA"/>
    <w:rsid w:val="006C7593"/>
    <w:rsid w:val="006C7967"/>
    <w:rsid w:val="006D111F"/>
    <w:rsid w:val="006D2004"/>
    <w:rsid w:val="006D4824"/>
    <w:rsid w:val="006D4E6E"/>
    <w:rsid w:val="006D536A"/>
    <w:rsid w:val="006D5E1E"/>
    <w:rsid w:val="006E0D4C"/>
    <w:rsid w:val="006E3CA8"/>
    <w:rsid w:val="006E7ABA"/>
    <w:rsid w:val="00700B34"/>
    <w:rsid w:val="007016E9"/>
    <w:rsid w:val="0070355A"/>
    <w:rsid w:val="00703679"/>
    <w:rsid w:val="00703F13"/>
    <w:rsid w:val="00704014"/>
    <w:rsid w:val="00704301"/>
    <w:rsid w:val="00705EA2"/>
    <w:rsid w:val="00712A0E"/>
    <w:rsid w:val="00712C35"/>
    <w:rsid w:val="007211ED"/>
    <w:rsid w:val="00722142"/>
    <w:rsid w:val="0072426F"/>
    <w:rsid w:val="00726E58"/>
    <w:rsid w:val="00727CFB"/>
    <w:rsid w:val="00730FC5"/>
    <w:rsid w:val="0073122D"/>
    <w:rsid w:val="0073123D"/>
    <w:rsid w:val="00734586"/>
    <w:rsid w:val="00737FEA"/>
    <w:rsid w:val="00741709"/>
    <w:rsid w:val="00744614"/>
    <w:rsid w:val="00744EB1"/>
    <w:rsid w:val="00750920"/>
    <w:rsid w:val="0075178E"/>
    <w:rsid w:val="0075268D"/>
    <w:rsid w:val="00752BCB"/>
    <w:rsid w:val="00755ECB"/>
    <w:rsid w:val="00757207"/>
    <w:rsid w:val="00757E23"/>
    <w:rsid w:val="00757F69"/>
    <w:rsid w:val="00761155"/>
    <w:rsid w:val="007614DC"/>
    <w:rsid w:val="0076194C"/>
    <w:rsid w:val="0076223E"/>
    <w:rsid w:val="00765C9E"/>
    <w:rsid w:val="0076611E"/>
    <w:rsid w:val="0076728A"/>
    <w:rsid w:val="00767ED3"/>
    <w:rsid w:val="00771C9C"/>
    <w:rsid w:val="00774F56"/>
    <w:rsid w:val="0077501F"/>
    <w:rsid w:val="007809DF"/>
    <w:rsid w:val="0078668F"/>
    <w:rsid w:val="00786C4F"/>
    <w:rsid w:val="007877E2"/>
    <w:rsid w:val="007903A2"/>
    <w:rsid w:val="00792D9A"/>
    <w:rsid w:val="00793B60"/>
    <w:rsid w:val="007A0D9A"/>
    <w:rsid w:val="007A188B"/>
    <w:rsid w:val="007A1D2A"/>
    <w:rsid w:val="007A1DCF"/>
    <w:rsid w:val="007A25BC"/>
    <w:rsid w:val="007A2635"/>
    <w:rsid w:val="007A4369"/>
    <w:rsid w:val="007A4516"/>
    <w:rsid w:val="007A5063"/>
    <w:rsid w:val="007A6368"/>
    <w:rsid w:val="007A6B67"/>
    <w:rsid w:val="007B24FD"/>
    <w:rsid w:val="007B2557"/>
    <w:rsid w:val="007B2C3F"/>
    <w:rsid w:val="007B3231"/>
    <w:rsid w:val="007C281F"/>
    <w:rsid w:val="007C29A6"/>
    <w:rsid w:val="007C2AA9"/>
    <w:rsid w:val="007C3200"/>
    <w:rsid w:val="007C3591"/>
    <w:rsid w:val="007C4F90"/>
    <w:rsid w:val="007C5A31"/>
    <w:rsid w:val="007D0AA3"/>
    <w:rsid w:val="007D719C"/>
    <w:rsid w:val="007E236C"/>
    <w:rsid w:val="007E5301"/>
    <w:rsid w:val="007F1669"/>
    <w:rsid w:val="007F2BBB"/>
    <w:rsid w:val="007F4EA7"/>
    <w:rsid w:val="007F63BA"/>
    <w:rsid w:val="007F6413"/>
    <w:rsid w:val="0080011D"/>
    <w:rsid w:val="0080133E"/>
    <w:rsid w:val="00802AC9"/>
    <w:rsid w:val="0080339D"/>
    <w:rsid w:val="00807860"/>
    <w:rsid w:val="008108AD"/>
    <w:rsid w:val="00810F8D"/>
    <w:rsid w:val="00813A38"/>
    <w:rsid w:val="00814ACC"/>
    <w:rsid w:val="00817CB6"/>
    <w:rsid w:val="008229F7"/>
    <w:rsid w:val="008255E6"/>
    <w:rsid w:val="008273BC"/>
    <w:rsid w:val="00830590"/>
    <w:rsid w:val="0083130C"/>
    <w:rsid w:val="008323D2"/>
    <w:rsid w:val="0083259D"/>
    <w:rsid w:val="00832B68"/>
    <w:rsid w:val="00833E78"/>
    <w:rsid w:val="00836B8A"/>
    <w:rsid w:val="00841419"/>
    <w:rsid w:val="008418CE"/>
    <w:rsid w:val="00846B77"/>
    <w:rsid w:val="0084785F"/>
    <w:rsid w:val="00853820"/>
    <w:rsid w:val="00855154"/>
    <w:rsid w:val="00856183"/>
    <w:rsid w:val="00857034"/>
    <w:rsid w:val="008600D7"/>
    <w:rsid w:val="008646E8"/>
    <w:rsid w:val="00865EAC"/>
    <w:rsid w:val="00872077"/>
    <w:rsid w:val="00872CD6"/>
    <w:rsid w:val="008742AF"/>
    <w:rsid w:val="00875693"/>
    <w:rsid w:val="00876A02"/>
    <w:rsid w:val="00876D28"/>
    <w:rsid w:val="0087731B"/>
    <w:rsid w:val="0088398C"/>
    <w:rsid w:val="0088421D"/>
    <w:rsid w:val="00886002"/>
    <w:rsid w:val="008918A4"/>
    <w:rsid w:val="00892CDC"/>
    <w:rsid w:val="0089595C"/>
    <w:rsid w:val="00895C94"/>
    <w:rsid w:val="00896A27"/>
    <w:rsid w:val="008A46BD"/>
    <w:rsid w:val="008B4055"/>
    <w:rsid w:val="008B4086"/>
    <w:rsid w:val="008B5D42"/>
    <w:rsid w:val="008B6791"/>
    <w:rsid w:val="008B6B5E"/>
    <w:rsid w:val="008C2A6C"/>
    <w:rsid w:val="008C550C"/>
    <w:rsid w:val="008C5936"/>
    <w:rsid w:val="008D0B68"/>
    <w:rsid w:val="008D3E55"/>
    <w:rsid w:val="008D59DA"/>
    <w:rsid w:val="008E274A"/>
    <w:rsid w:val="008E44A5"/>
    <w:rsid w:val="008E4F92"/>
    <w:rsid w:val="008E5C3E"/>
    <w:rsid w:val="008E6480"/>
    <w:rsid w:val="008F0A32"/>
    <w:rsid w:val="008F4382"/>
    <w:rsid w:val="009048DF"/>
    <w:rsid w:val="009049EB"/>
    <w:rsid w:val="00906088"/>
    <w:rsid w:val="00906CB2"/>
    <w:rsid w:val="0091107C"/>
    <w:rsid w:val="0091434D"/>
    <w:rsid w:val="00915506"/>
    <w:rsid w:val="00916128"/>
    <w:rsid w:val="009163D9"/>
    <w:rsid w:val="009217FD"/>
    <w:rsid w:val="00926863"/>
    <w:rsid w:val="00926890"/>
    <w:rsid w:val="00932A0A"/>
    <w:rsid w:val="009346BE"/>
    <w:rsid w:val="0093580A"/>
    <w:rsid w:val="00935E6F"/>
    <w:rsid w:val="00940A92"/>
    <w:rsid w:val="009507B4"/>
    <w:rsid w:val="00951F80"/>
    <w:rsid w:val="00960699"/>
    <w:rsid w:val="00960E3B"/>
    <w:rsid w:val="00961B56"/>
    <w:rsid w:val="009670FD"/>
    <w:rsid w:val="00971DCB"/>
    <w:rsid w:val="00972E88"/>
    <w:rsid w:val="009733A6"/>
    <w:rsid w:val="009736B5"/>
    <w:rsid w:val="009737A0"/>
    <w:rsid w:val="009748B0"/>
    <w:rsid w:val="00974C07"/>
    <w:rsid w:val="00975EFA"/>
    <w:rsid w:val="00976D2F"/>
    <w:rsid w:val="00976F70"/>
    <w:rsid w:val="00977EF7"/>
    <w:rsid w:val="00980206"/>
    <w:rsid w:val="009824F5"/>
    <w:rsid w:val="0098336F"/>
    <w:rsid w:val="00983C84"/>
    <w:rsid w:val="00990D08"/>
    <w:rsid w:val="00993CD2"/>
    <w:rsid w:val="009A1CBC"/>
    <w:rsid w:val="009A27D9"/>
    <w:rsid w:val="009A30B8"/>
    <w:rsid w:val="009A33D9"/>
    <w:rsid w:val="009A3447"/>
    <w:rsid w:val="009A4739"/>
    <w:rsid w:val="009B0E96"/>
    <w:rsid w:val="009B1DF6"/>
    <w:rsid w:val="009B20D5"/>
    <w:rsid w:val="009B578C"/>
    <w:rsid w:val="009B6BAA"/>
    <w:rsid w:val="009B7692"/>
    <w:rsid w:val="009C0C57"/>
    <w:rsid w:val="009C0E5C"/>
    <w:rsid w:val="009C1D2A"/>
    <w:rsid w:val="009C2128"/>
    <w:rsid w:val="009C44DE"/>
    <w:rsid w:val="009D0CD3"/>
    <w:rsid w:val="009D0EFE"/>
    <w:rsid w:val="009E10AC"/>
    <w:rsid w:val="009E371C"/>
    <w:rsid w:val="009E6DB8"/>
    <w:rsid w:val="009F19AE"/>
    <w:rsid w:val="009F1DFC"/>
    <w:rsid w:val="00A05CA2"/>
    <w:rsid w:val="00A073DC"/>
    <w:rsid w:val="00A123D4"/>
    <w:rsid w:val="00A134C2"/>
    <w:rsid w:val="00A17268"/>
    <w:rsid w:val="00A17740"/>
    <w:rsid w:val="00A22458"/>
    <w:rsid w:val="00A23323"/>
    <w:rsid w:val="00A25368"/>
    <w:rsid w:val="00A2730C"/>
    <w:rsid w:val="00A30A2E"/>
    <w:rsid w:val="00A31C60"/>
    <w:rsid w:val="00A32D72"/>
    <w:rsid w:val="00A339E1"/>
    <w:rsid w:val="00A35572"/>
    <w:rsid w:val="00A367F0"/>
    <w:rsid w:val="00A4486C"/>
    <w:rsid w:val="00A45352"/>
    <w:rsid w:val="00A4546C"/>
    <w:rsid w:val="00A45646"/>
    <w:rsid w:val="00A5600D"/>
    <w:rsid w:val="00A57E61"/>
    <w:rsid w:val="00A604EC"/>
    <w:rsid w:val="00A61687"/>
    <w:rsid w:val="00A616E0"/>
    <w:rsid w:val="00A64B07"/>
    <w:rsid w:val="00A64FB7"/>
    <w:rsid w:val="00A707A6"/>
    <w:rsid w:val="00A70F48"/>
    <w:rsid w:val="00A728A6"/>
    <w:rsid w:val="00A72B71"/>
    <w:rsid w:val="00A74471"/>
    <w:rsid w:val="00A7485A"/>
    <w:rsid w:val="00A7625E"/>
    <w:rsid w:val="00A7720C"/>
    <w:rsid w:val="00A77485"/>
    <w:rsid w:val="00A80791"/>
    <w:rsid w:val="00A814DB"/>
    <w:rsid w:val="00A81897"/>
    <w:rsid w:val="00A81C06"/>
    <w:rsid w:val="00A8355C"/>
    <w:rsid w:val="00A851D8"/>
    <w:rsid w:val="00A86B00"/>
    <w:rsid w:val="00A87412"/>
    <w:rsid w:val="00A92BBD"/>
    <w:rsid w:val="00A93B2B"/>
    <w:rsid w:val="00A93BF1"/>
    <w:rsid w:val="00A94C4D"/>
    <w:rsid w:val="00A97588"/>
    <w:rsid w:val="00AA238F"/>
    <w:rsid w:val="00AA4ED6"/>
    <w:rsid w:val="00AA561D"/>
    <w:rsid w:val="00AB39FD"/>
    <w:rsid w:val="00AB6405"/>
    <w:rsid w:val="00AB697C"/>
    <w:rsid w:val="00AC0C2E"/>
    <w:rsid w:val="00AC4D43"/>
    <w:rsid w:val="00AC587A"/>
    <w:rsid w:val="00AC6E34"/>
    <w:rsid w:val="00AD0830"/>
    <w:rsid w:val="00AD09D6"/>
    <w:rsid w:val="00AD223B"/>
    <w:rsid w:val="00AD248D"/>
    <w:rsid w:val="00AD35E5"/>
    <w:rsid w:val="00AD3631"/>
    <w:rsid w:val="00AE107C"/>
    <w:rsid w:val="00AE1B1D"/>
    <w:rsid w:val="00AE3702"/>
    <w:rsid w:val="00AF1BA1"/>
    <w:rsid w:val="00AF28A6"/>
    <w:rsid w:val="00AF30C9"/>
    <w:rsid w:val="00AF3CE6"/>
    <w:rsid w:val="00AF4E5B"/>
    <w:rsid w:val="00AF5885"/>
    <w:rsid w:val="00B00D3D"/>
    <w:rsid w:val="00B054BA"/>
    <w:rsid w:val="00B07283"/>
    <w:rsid w:val="00B07B99"/>
    <w:rsid w:val="00B11B57"/>
    <w:rsid w:val="00B13C80"/>
    <w:rsid w:val="00B1633A"/>
    <w:rsid w:val="00B1700C"/>
    <w:rsid w:val="00B206BA"/>
    <w:rsid w:val="00B2169D"/>
    <w:rsid w:val="00B22131"/>
    <w:rsid w:val="00B279DF"/>
    <w:rsid w:val="00B33543"/>
    <w:rsid w:val="00B340B3"/>
    <w:rsid w:val="00B37058"/>
    <w:rsid w:val="00B40098"/>
    <w:rsid w:val="00B51184"/>
    <w:rsid w:val="00B524BC"/>
    <w:rsid w:val="00B52FE9"/>
    <w:rsid w:val="00B530B9"/>
    <w:rsid w:val="00B53DBD"/>
    <w:rsid w:val="00B549DA"/>
    <w:rsid w:val="00B54E7F"/>
    <w:rsid w:val="00B60AC1"/>
    <w:rsid w:val="00B611B8"/>
    <w:rsid w:val="00B64076"/>
    <w:rsid w:val="00B6431D"/>
    <w:rsid w:val="00B64D22"/>
    <w:rsid w:val="00B65C47"/>
    <w:rsid w:val="00B72BA2"/>
    <w:rsid w:val="00B74BBE"/>
    <w:rsid w:val="00B77100"/>
    <w:rsid w:val="00B805A7"/>
    <w:rsid w:val="00B8072D"/>
    <w:rsid w:val="00B84F40"/>
    <w:rsid w:val="00B8709F"/>
    <w:rsid w:val="00B879E5"/>
    <w:rsid w:val="00B87CA2"/>
    <w:rsid w:val="00B9063D"/>
    <w:rsid w:val="00B90A6A"/>
    <w:rsid w:val="00B91DFA"/>
    <w:rsid w:val="00B9596F"/>
    <w:rsid w:val="00B95D01"/>
    <w:rsid w:val="00B9788F"/>
    <w:rsid w:val="00BA0FE1"/>
    <w:rsid w:val="00BA5F4E"/>
    <w:rsid w:val="00BB5BDC"/>
    <w:rsid w:val="00BB7E9A"/>
    <w:rsid w:val="00BC2F44"/>
    <w:rsid w:val="00BC3506"/>
    <w:rsid w:val="00BC5234"/>
    <w:rsid w:val="00BD28E7"/>
    <w:rsid w:val="00BD36D1"/>
    <w:rsid w:val="00BD36E2"/>
    <w:rsid w:val="00BD4538"/>
    <w:rsid w:val="00BE14FB"/>
    <w:rsid w:val="00BE19C2"/>
    <w:rsid w:val="00BE3207"/>
    <w:rsid w:val="00BE374D"/>
    <w:rsid w:val="00BE54DC"/>
    <w:rsid w:val="00BF3D48"/>
    <w:rsid w:val="00BF6B43"/>
    <w:rsid w:val="00BF71E2"/>
    <w:rsid w:val="00C00060"/>
    <w:rsid w:val="00C00791"/>
    <w:rsid w:val="00C009CF"/>
    <w:rsid w:val="00C00E42"/>
    <w:rsid w:val="00C04803"/>
    <w:rsid w:val="00C06F41"/>
    <w:rsid w:val="00C0706F"/>
    <w:rsid w:val="00C07285"/>
    <w:rsid w:val="00C1226A"/>
    <w:rsid w:val="00C23DF2"/>
    <w:rsid w:val="00C25905"/>
    <w:rsid w:val="00C30886"/>
    <w:rsid w:val="00C35748"/>
    <w:rsid w:val="00C36C1D"/>
    <w:rsid w:val="00C4200B"/>
    <w:rsid w:val="00C43792"/>
    <w:rsid w:val="00C465FF"/>
    <w:rsid w:val="00C46BA0"/>
    <w:rsid w:val="00C503FC"/>
    <w:rsid w:val="00C554D5"/>
    <w:rsid w:val="00C57A21"/>
    <w:rsid w:val="00C60EB6"/>
    <w:rsid w:val="00C65541"/>
    <w:rsid w:val="00C6706D"/>
    <w:rsid w:val="00C7179D"/>
    <w:rsid w:val="00C7320F"/>
    <w:rsid w:val="00C766F3"/>
    <w:rsid w:val="00C767F7"/>
    <w:rsid w:val="00C816E0"/>
    <w:rsid w:val="00C83B93"/>
    <w:rsid w:val="00C90E4D"/>
    <w:rsid w:val="00C9199E"/>
    <w:rsid w:val="00C92227"/>
    <w:rsid w:val="00C92373"/>
    <w:rsid w:val="00C97113"/>
    <w:rsid w:val="00C97D94"/>
    <w:rsid w:val="00CA0F3E"/>
    <w:rsid w:val="00CA1424"/>
    <w:rsid w:val="00CA1A61"/>
    <w:rsid w:val="00CA24C0"/>
    <w:rsid w:val="00CA3775"/>
    <w:rsid w:val="00CA61A0"/>
    <w:rsid w:val="00CA768B"/>
    <w:rsid w:val="00CB041D"/>
    <w:rsid w:val="00CB38E0"/>
    <w:rsid w:val="00CB679D"/>
    <w:rsid w:val="00CB7AFA"/>
    <w:rsid w:val="00CC03CD"/>
    <w:rsid w:val="00CC2CB9"/>
    <w:rsid w:val="00CC4A0C"/>
    <w:rsid w:val="00CC5212"/>
    <w:rsid w:val="00CC64BC"/>
    <w:rsid w:val="00CC653D"/>
    <w:rsid w:val="00CC6780"/>
    <w:rsid w:val="00CD11B4"/>
    <w:rsid w:val="00CD11D7"/>
    <w:rsid w:val="00CD77E6"/>
    <w:rsid w:val="00CD7C5B"/>
    <w:rsid w:val="00CE2271"/>
    <w:rsid w:val="00CE3F0D"/>
    <w:rsid w:val="00CE43CE"/>
    <w:rsid w:val="00CE4E19"/>
    <w:rsid w:val="00CE77BE"/>
    <w:rsid w:val="00CF2AD3"/>
    <w:rsid w:val="00CF3478"/>
    <w:rsid w:val="00CF3518"/>
    <w:rsid w:val="00D04E41"/>
    <w:rsid w:val="00D06218"/>
    <w:rsid w:val="00D07A43"/>
    <w:rsid w:val="00D107C8"/>
    <w:rsid w:val="00D115FB"/>
    <w:rsid w:val="00D121FB"/>
    <w:rsid w:val="00D223B2"/>
    <w:rsid w:val="00D228DE"/>
    <w:rsid w:val="00D22964"/>
    <w:rsid w:val="00D2442E"/>
    <w:rsid w:val="00D25CEE"/>
    <w:rsid w:val="00D25CF6"/>
    <w:rsid w:val="00D277B0"/>
    <w:rsid w:val="00D30C38"/>
    <w:rsid w:val="00D329BE"/>
    <w:rsid w:val="00D3534A"/>
    <w:rsid w:val="00D35602"/>
    <w:rsid w:val="00D416D3"/>
    <w:rsid w:val="00D46216"/>
    <w:rsid w:val="00D5338D"/>
    <w:rsid w:val="00D55B3A"/>
    <w:rsid w:val="00D57EE7"/>
    <w:rsid w:val="00D64C81"/>
    <w:rsid w:val="00D67A06"/>
    <w:rsid w:val="00D76C0C"/>
    <w:rsid w:val="00D80A72"/>
    <w:rsid w:val="00D81BCA"/>
    <w:rsid w:val="00D8259E"/>
    <w:rsid w:val="00D836DA"/>
    <w:rsid w:val="00D85DE7"/>
    <w:rsid w:val="00D8671D"/>
    <w:rsid w:val="00D87ABA"/>
    <w:rsid w:val="00D905D8"/>
    <w:rsid w:val="00D90DFB"/>
    <w:rsid w:val="00D90FE8"/>
    <w:rsid w:val="00D915C4"/>
    <w:rsid w:val="00D91BDE"/>
    <w:rsid w:val="00DA099C"/>
    <w:rsid w:val="00DB004F"/>
    <w:rsid w:val="00DB06FF"/>
    <w:rsid w:val="00DB0720"/>
    <w:rsid w:val="00DB078F"/>
    <w:rsid w:val="00DB13B5"/>
    <w:rsid w:val="00DB3D09"/>
    <w:rsid w:val="00DB7756"/>
    <w:rsid w:val="00DC01BF"/>
    <w:rsid w:val="00DC1069"/>
    <w:rsid w:val="00DC597A"/>
    <w:rsid w:val="00DC66A1"/>
    <w:rsid w:val="00DD1115"/>
    <w:rsid w:val="00DD1631"/>
    <w:rsid w:val="00DD39DF"/>
    <w:rsid w:val="00DD4ED0"/>
    <w:rsid w:val="00DD67E2"/>
    <w:rsid w:val="00DE0F83"/>
    <w:rsid w:val="00DE110B"/>
    <w:rsid w:val="00DF1D9A"/>
    <w:rsid w:val="00DF7792"/>
    <w:rsid w:val="00E014C7"/>
    <w:rsid w:val="00E01FB0"/>
    <w:rsid w:val="00E02AAE"/>
    <w:rsid w:val="00E07605"/>
    <w:rsid w:val="00E10F6B"/>
    <w:rsid w:val="00E11E1F"/>
    <w:rsid w:val="00E26813"/>
    <w:rsid w:val="00E3113F"/>
    <w:rsid w:val="00E33D99"/>
    <w:rsid w:val="00E35B18"/>
    <w:rsid w:val="00E41A28"/>
    <w:rsid w:val="00E44745"/>
    <w:rsid w:val="00E462B6"/>
    <w:rsid w:val="00E52F70"/>
    <w:rsid w:val="00E54481"/>
    <w:rsid w:val="00E567A9"/>
    <w:rsid w:val="00E63BF4"/>
    <w:rsid w:val="00E713DD"/>
    <w:rsid w:val="00E72419"/>
    <w:rsid w:val="00E73307"/>
    <w:rsid w:val="00E7626D"/>
    <w:rsid w:val="00E82612"/>
    <w:rsid w:val="00E833AB"/>
    <w:rsid w:val="00E84EB9"/>
    <w:rsid w:val="00E851DA"/>
    <w:rsid w:val="00E85EE9"/>
    <w:rsid w:val="00E90EB7"/>
    <w:rsid w:val="00E92AA6"/>
    <w:rsid w:val="00E956ED"/>
    <w:rsid w:val="00E965CE"/>
    <w:rsid w:val="00E97F20"/>
    <w:rsid w:val="00EA4DAB"/>
    <w:rsid w:val="00EA69F3"/>
    <w:rsid w:val="00EA78C8"/>
    <w:rsid w:val="00EA7DC4"/>
    <w:rsid w:val="00EB0CF8"/>
    <w:rsid w:val="00EB2252"/>
    <w:rsid w:val="00EB3D27"/>
    <w:rsid w:val="00EB4EA7"/>
    <w:rsid w:val="00EC317F"/>
    <w:rsid w:val="00EC4978"/>
    <w:rsid w:val="00EC5F54"/>
    <w:rsid w:val="00ED37D9"/>
    <w:rsid w:val="00ED404A"/>
    <w:rsid w:val="00ED4E85"/>
    <w:rsid w:val="00ED6848"/>
    <w:rsid w:val="00EE06FF"/>
    <w:rsid w:val="00EE14A1"/>
    <w:rsid w:val="00EE5E52"/>
    <w:rsid w:val="00EF5713"/>
    <w:rsid w:val="00EF60E3"/>
    <w:rsid w:val="00F00B11"/>
    <w:rsid w:val="00F017CE"/>
    <w:rsid w:val="00F050A0"/>
    <w:rsid w:val="00F10F56"/>
    <w:rsid w:val="00F12EE1"/>
    <w:rsid w:val="00F1343B"/>
    <w:rsid w:val="00F15DC3"/>
    <w:rsid w:val="00F21E71"/>
    <w:rsid w:val="00F232DA"/>
    <w:rsid w:val="00F26562"/>
    <w:rsid w:val="00F30BD5"/>
    <w:rsid w:val="00F35504"/>
    <w:rsid w:val="00F43A4C"/>
    <w:rsid w:val="00F47F91"/>
    <w:rsid w:val="00F50344"/>
    <w:rsid w:val="00F5040C"/>
    <w:rsid w:val="00F51B60"/>
    <w:rsid w:val="00F630C2"/>
    <w:rsid w:val="00F63E6F"/>
    <w:rsid w:val="00F6722C"/>
    <w:rsid w:val="00F703F6"/>
    <w:rsid w:val="00F762E7"/>
    <w:rsid w:val="00F82A7F"/>
    <w:rsid w:val="00F83942"/>
    <w:rsid w:val="00F844B1"/>
    <w:rsid w:val="00F84815"/>
    <w:rsid w:val="00F871AC"/>
    <w:rsid w:val="00F90689"/>
    <w:rsid w:val="00F94F90"/>
    <w:rsid w:val="00F9742A"/>
    <w:rsid w:val="00F97C7D"/>
    <w:rsid w:val="00FA056B"/>
    <w:rsid w:val="00FA54DD"/>
    <w:rsid w:val="00FB26FE"/>
    <w:rsid w:val="00FB4982"/>
    <w:rsid w:val="00FC0812"/>
    <w:rsid w:val="00FC27DB"/>
    <w:rsid w:val="00FC34B1"/>
    <w:rsid w:val="00FC4F26"/>
    <w:rsid w:val="00FD0B83"/>
    <w:rsid w:val="00FD36BE"/>
    <w:rsid w:val="00FD41BB"/>
    <w:rsid w:val="00FD454B"/>
    <w:rsid w:val="00FD51A5"/>
    <w:rsid w:val="00FD5656"/>
    <w:rsid w:val="00FE16C5"/>
    <w:rsid w:val="00FE36B3"/>
    <w:rsid w:val="00FF1380"/>
    <w:rsid w:val="00FF2A80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4140A"/>
  <w15:docId w15:val="{8FDC88EE-CF6C-44F5-B5B4-976EE016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D3F2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2656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6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26562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A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8B4055"/>
    <w:pPr>
      <w:ind w:firstLineChars="200" w:firstLine="420"/>
    </w:pPr>
  </w:style>
  <w:style w:type="table" w:styleId="TableGrid">
    <w:name w:val="Table Grid"/>
    <w:basedOn w:val="TableNormal"/>
    <w:uiPriority w:val="59"/>
    <w:rsid w:val="00612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32D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2D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2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2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2DA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0"/>
    <w:rsid w:val="00BD36E2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D36E2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BD36E2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BD36E2"/>
    <w:rPr>
      <w:rFonts w:ascii="Calibri" w:hAnsi="Calibri" w:cs="Calibri"/>
      <w:noProof/>
      <w:sz w:val="20"/>
    </w:rPr>
  </w:style>
  <w:style w:type="character" w:styleId="LineNumber">
    <w:name w:val="line number"/>
    <w:basedOn w:val="DefaultParagraphFont"/>
    <w:uiPriority w:val="99"/>
    <w:semiHidden/>
    <w:unhideWhenUsed/>
    <w:rsid w:val="005C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魏言春</dc:creator>
  <cp:keywords/>
  <dc:description/>
  <cp:lastModifiedBy>Boon Lee</cp:lastModifiedBy>
  <cp:revision>2</cp:revision>
  <cp:lastPrinted>2019-06-14T01:16:00Z</cp:lastPrinted>
  <dcterms:created xsi:type="dcterms:W3CDTF">2020-02-11T23:20:00Z</dcterms:created>
  <dcterms:modified xsi:type="dcterms:W3CDTF">2020-02-11T23:20:00Z</dcterms:modified>
</cp:coreProperties>
</file>