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DB730" w14:textId="0E2F2B07" w:rsidR="000D2C05" w:rsidRPr="00436986" w:rsidRDefault="000D2C05" w:rsidP="000D2C05">
      <w:pPr>
        <w:spacing w:line="480" w:lineRule="auto"/>
        <w:jc w:val="both"/>
        <w:rPr>
          <w:rFonts w:asciiTheme="minorBidi" w:hAnsiTheme="minorBidi"/>
          <w:b/>
          <w:bCs/>
          <w:sz w:val="20"/>
          <w:szCs w:val="20"/>
        </w:rPr>
      </w:pPr>
      <w:bookmarkStart w:id="0" w:name="_GoBack"/>
      <w:bookmarkEnd w:id="0"/>
      <w:r w:rsidRPr="00436986">
        <w:rPr>
          <w:rFonts w:asciiTheme="minorBidi" w:hAnsiTheme="minorBidi"/>
          <w:b/>
          <w:bCs/>
          <w:sz w:val="20"/>
          <w:szCs w:val="20"/>
        </w:rPr>
        <w:t xml:space="preserve">Supplementary </w:t>
      </w:r>
      <w:r w:rsidR="00A420C3">
        <w:rPr>
          <w:rFonts w:asciiTheme="minorBidi" w:hAnsiTheme="minorBidi"/>
          <w:b/>
          <w:bCs/>
          <w:sz w:val="20"/>
          <w:szCs w:val="20"/>
        </w:rPr>
        <w:t>Tables</w:t>
      </w:r>
    </w:p>
    <w:p w14:paraId="65E953EC" w14:textId="77777777" w:rsidR="000D2C05" w:rsidRDefault="000D2C05" w:rsidP="000D2C05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  <w:r w:rsidRPr="00436986">
        <w:rPr>
          <w:rFonts w:asciiTheme="minorBidi" w:hAnsiTheme="minorBidi"/>
          <w:b/>
          <w:bCs/>
          <w:sz w:val="20"/>
          <w:szCs w:val="20"/>
        </w:rPr>
        <w:t>Table S1</w:t>
      </w:r>
      <w:r w:rsidRPr="00436986">
        <w:rPr>
          <w:rFonts w:asciiTheme="minorBidi" w:hAnsiTheme="minorBidi"/>
          <w:sz w:val="20"/>
          <w:szCs w:val="20"/>
        </w:rPr>
        <w:t>.</w:t>
      </w:r>
      <w:r w:rsidRPr="00EE278D">
        <w:rPr>
          <w:rFonts w:asciiTheme="minorBidi" w:hAnsiTheme="minorBidi"/>
          <w:b/>
          <w:bCs/>
          <w:sz w:val="20"/>
          <w:szCs w:val="20"/>
        </w:rPr>
        <w:t xml:space="preserve"> Cox univariate analysis, correlation of level of distress with overall survival for the study cohort (n=404). </w:t>
      </w:r>
    </w:p>
    <w:p w14:paraId="43457A5F" w14:textId="77777777" w:rsidR="000D2C05" w:rsidRPr="00436986" w:rsidRDefault="000D2C05" w:rsidP="000D2C05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  <w:r w:rsidRPr="00436986">
        <w:rPr>
          <w:rFonts w:asciiTheme="minorBidi" w:hAnsiTheme="minorBidi"/>
          <w:sz w:val="20"/>
          <w:szCs w:val="20"/>
        </w:rPr>
        <w:t xml:space="preserve">P value for the correlation is 0.001, with a higher risk of death at higher levels of distress. 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2002"/>
        <w:gridCol w:w="1853"/>
        <w:gridCol w:w="2377"/>
      </w:tblGrid>
      <w:tr w:rsidR="000D2C05" w:rsidRPr="00436986" w14:paraId="73FBC79B" w14:textId="77777777" w:rsidTr="000D2C05">
        <w:trPr>
          <w:trHeight w:val="2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46F18" w14:textId="77777777" w:rsidR="000D2C05" w:rsidRPr="005F3B1C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5F3B1C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Level of distress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6CABB" w14:textId="77777777" w:rsidR="000D2C05" w:rsidRPr="005F3B1C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5F3B1C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27B2" w14:textId="77777777" w:rsidR="000D2C05" w:rsidRPr="005F3B1C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5F3B1C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Hazard Ratio (95% CI) for survival</w:t>
            </w:r>
          </w:p>
        </w:tc>
      </w:tr>
      <w:tr w:rsidR="000D2C05" w:rsidRPr="00436986" w14:paraId="3612582A" w14:textId="77777777" w:rsidTr="0084592C">
        <w:trPr>
          <w:trHeight w:val="29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256D89" w14:textId="77777777" w:rsidR="000D2C05" w:rsidRPr="00436986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E7EDB9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60 (14.9)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79A97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Reference</w:t>
            </w:r>
          </w:p>
        </w:tc>
      </w:tr>
      <w:tr w:rsidR="000D2C05" w:rsidRPr="00436986" w14:paraId="363706DC" w14:textId="77777777" w:rsidTr="0084592C">
        <w:trPr>
          <w:trHeight w:val="297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CD1DC5" w14:textId="77777777" w:rsidR="000D2C05" w:rsidRPr="00436986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FBF896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69 (17.1)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C9398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0.63 (0.33-1.21)</w:t>
            </w:r>
          </w:p>
        </w:tc>
      </w:tr>
      <w:tr w:rsidR="000D2C05" w:rsidRPr="00436986" w14:paraId="0ED555FD" w14:textId="77777777" w:rsidTr="0084592C">
        <w:trPr>
          <w:trHeight w:val="297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0EFB30" w14:textId="77777777" w:rsidR="000D2C05" w:rsidRPr="00436986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C75566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56 (13.9)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418BA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0.88 (0.45-1.72)</w:t>
            </w:r>
          </w:p>
        </w:tc>
      </w:tr>
      <w:tr w:rsidR="000D2C05" w:rsidRPr="00436986" w14:paraId="5CE33B5E" w14:textId="77777777" w:rsidTr="0084592C">
        <w:trPr>
          <w:trHeight w:val="297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508A27" w14:textId="77777777" w:rsidR="000D2C05" w:rsidRPr="00436986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D0B956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50 (12.4)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2D071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0.40 (0.17-0.95)</w:t>
            </w:r>
          </w:p>
        </w:tc>
      </w:tr>
      <w:tr w:rsidR="000D2C05" w:rsidRPr="00436986" w14:paraId="29A82575" w14:textId="77777777" w:rsidTr="0084592C">
        <w:trPr>
          <w:trHeight w:val="297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696775" w14:textId="77777777" w:rsidR="000D2C05" w:rsidRPr="00436986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B2B2F8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58 (14.4)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8A82A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1.50 (0.84-2.70)</w:t>
            </w:r>
          </w:p>
        </w:tc>
      </w:tr>
      <w:tr w:rsidR="000D2C05" w:rsidRPr="00436986" w14:paraId="30505F79" w14:textId="77777777" w:rsidTr="0084592C">
        <w:trPr>
          <w:trHeight w:val="297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1B6F2" w14:textId="77777777" w:rsidR="000D2C05" w:rsidRPr="00436986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439A7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111 (27.5)</w:t>
            </w:r>
          </w:p>
        </w:tc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B069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1.45 (0.85-2.47)</w:t>
            </w:r>
          </w:p>
        </w:tc>
      </w:tr>
    </w:tbl>
    <w:p w14:paraId="166B68B2" w14:textId="77777777" w:rsidR="000D2C05" w:rsidRPr="00436986" w:rsidRDefault="000D2C05" w:rsidP="000D2C05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</w:p>
    <w:p w14:paraId="319C2FEF" w14:textId="77777777" w:rsidR="000D2C05" w:rsidRDefault="000D2C05" w:rsidP="000D2C05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br w:type="page"/>
      </w:r>
    </w:p>
    <w:p w14:paraId="4FE7B14D" w14:textId="77777777" w:rsidR="000D2C05" w:rsidRDefault="000D2C05" w:rsidP="000D2C05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  <w:r w:rsidRPr="00436986">
        <w:rPr>
          <w:rFonts w:asciiTheme="minorBidi" w:hAnsiTheme="minorBidi"/>
          <w:b/>
          <w:bCs/>
          <w:sz w:val="20"/>
          <w:szCs w:val="20"/>
        </w:rPr>
        <w:t>Table S2</w:t>
      </w:r>
      <w:r w:rsidRPr="00436986">
        <w:rPr>
          <w:rFonts w:asciiTheme="minorBidi" w:hAnsiTheme="minorBidi"/>
          <w:sz w:val="20"/>
          <w:szCs w:val="20"/>
        </w:rPr>
        <w:t>.</w:t>
      </w:r>
      <w:r w:rsidRPr="00EE278D">
        <w:rPr>
          <w:rFonts w:asciiTheme="minorBidi" w:hAnsiTheme="minorBidi"/>
          <w:b/>
          <w:bCs/>
          <w:sz w:val="20"/>
          <w:szCs w:val="20"/>
        </w:rPr>
        <w:t xml:space="preserve"> Cox univariate analysis, correlation of level of pain score with overall survival for the study cohort (n=404). </w:t>
      </w:r>
    </w:p>
    <w:p w14:paraId="0689A9C6" w14:textId="77777777" w:rsidR="000D2C05" w:rsidRPr="00436986" w:rsidRDefault="000D2C05" w:rsidP="000D2C05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  <w:r w:rsidRPr="00436986">
        <w:rPr>
          <w:rFonts w:asciiTheme="minorBidi" w:hAnsiTheme="minorBidi"/>
          <w:sz w:val="20"/>
          <w:szCs w:val="20"/>
        </w:rPr>
        <w:t xml:space="preserve">Pain relates to visual analog score for pain with analgesics. P value for the correlation is 0.004, with a general trend of a higher risk of death at higher pain scores. </w:t>
      </w:r>
    </w:p>
    <w:p w14:paraId="6A42B964" w14:textId="77777777" w:rsidR="000D2C05" w:rsidRPr="00436986" w:rsidRDefault="000D2C05" w:rsidP="000D2C05">
      <w:pPr>
        <w:spacing w:line="480" w:lineRule="auto"/>
        <w:jc w:val="both"/>
        <w:rPr>
          <w:rFonts w:asciiTheme="minorBidi" w:hAnsiTheme="minorBidi"/>
          <w:sz w:val="20"/>
          <w:szCs w:val="20"/>
        </w:rPr>
      </w:pPr>
    </w:p>
    <w:tbl>
      <w:tblPr>
        <w:tblW w:w="5898" w:type="dxa"/>
        <w:tblLook w:val="04A0" w:firstRow="1" w:lastRow="0" w:firstColumn="1" w:lastColumn="0" w:noHBand="0" w:noVBand="1"/>
      </w:tblPr>
      <w:tblGrid>
        <w:gridCol w:w="1264"/>
        <w:gridCol w:w="1373"/>
        <w:gridCol w:w="3261"/>
      </w:tblGrid>
      <w:tr w:rsidR="000D2C05" w:rsidRPr="00436986" w14:paraId="7080D45C" w14:textId="77777777" w:rsidTr="000D2C05">
        <w:trPr>
          <w:trHeight w:hRule="exact" w:val="758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F0E77" w14:textId="77777777" w:rsidR="000D2C05" w:rsidRPr="005F3B1C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5F3B1C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 xml:space="preserve">Pain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BC9A" w14:textId="77777777" w:rsidR="000D2C05" w:rsidRPr="005F3B1C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5F3B1C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43D2" w14:textId="77777777" w:rsidR="000D2C05" w:rsidRPr="005F3B1C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5F3B1C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Hazard Ratio (95% CI) for survival</w:t>
            </w:r>
          </w:p>
        </w:tc>
      </w:tr>
      <w:tr w:rsidR="000D2C05" w:rsidRPr="00436986" w14:paraId="68D67F70" w14:textId="77777777" w:rsidTr="0084592C">
        <w:trPr>
          <w:trHeight w:val="38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5FBE0B" w14:textId="77777777" w:rsidR="000D2C05" w:rsidRPr="00436986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0A5FC6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203 (50.2)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08F61C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Reference</w:t>
            </w:r>
          </w:p>
        </w:tc>
      </w:tr>
      <w:tr w:rsidR="000D2C05" w:rsidRPr="00436986" w14:paraId="70E4FBE1" w14:textId="77777777" w:rsidTr="0084592C">
        <w:trPr>
          <w:trHeight w:val="380"/>
        </w:trPr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E3E1DA" w14:textId="77777777" w:rsidR="000D2C05" w:rsidRPr="00436986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5C2CD4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18 (4.5)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30A98B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1.08 (0.43-2.71)</w:t>
            </w:r>
          </w:p>
        </w:tc>
      </w:tr>
      <w:tr w:rsidR="000D2C05" w:rsidRPr="00436986" w14:paraId="6F7FC94D" w14:textId="77777777" w:rsidTr="0084592C">
        <w:trPr>
          <w:trHeight w:val="380"/>
        </w:trPr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9FE465" w14:textId="77777777" w:rsidR="000D2C05" w:rsidRPr="00436986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09C1B1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51 (12.6)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589CAF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1.37 (0.81-2.33)</w:t>
            </w:r>
          </w:p>
        </w:tc>
      </w:tr>
      <w:tr w:rsidR="000D2C05" w:rsidRPr="00436986" w14:paraId="7C65012F" w14:textId="77777777" w:rsidTr="0084592C">
        <w:trPr>
          <w:trHeight w:val="380"/>
        </w:trPr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5A8630" w14:textId="77777777" w:rsidR="000D2C05" w:rsidRPr="00436986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DA929C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34 (8.4)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376D33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1.87 (1.05-3.32)</w:t>
            </w:r>
          </w:p>
        </w:tc>
      </w:tr>
      <w:tr w:rsidR="000D2C05" w:rsidRPr="00436986" w14:paraId="789702FF" w14:textId="77777777" w:rsidTr="0084592C">
        <w:trPr>
          <w:trHeight w:val="380"/>
        </w:trPr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EB691A" w14:textId="77777777" w:rsidR="000D2C05" w:rsidRPr="00436986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2BDC31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21 (5.2)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AB2429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1.99 (1.01-3.93)</w:t>
            </w:r>
          </w:p>
        </w:tc>
      </w:tr>
      <w:tr w:rsidR="000D2C05" w:rsidRPr="00436986" w14:paraId="41C392B1" w14:textId="77777777" w:rsidTr="0084592C">
        <w:trPr>
          <w:trHeight w:val="380"/>
        </w:trPr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5AE320" w14:textId="77777777" w:rsidR="000D2C05" w:rsidRPr="00436986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C83172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24 (5.9)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1DAEB1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2.47 (1.34-4.56)</w:t>
            </w:r>
          </w:p>
        </w:tc>
      </w:tr>
      <w:tr w:rsidR="000D2C05" w:rsidRPr="00436986" w14:paraId="0803AB1E" w14:textId="77777777" w:rsidTr="0084592C">
        <w:trPr>
          <w:trHeight w:val="380"/>
        </w:trPr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DF7AB4" w14:textId="77777777" w:rsidR="000D2C05" w:rsidRPr="00436986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72FC2B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14 (3.5)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40E0FA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0.86 (0.27-2.75)</w:t>
            </w:r>
          </w:p>
        </w:tc>
      </w:tr>
      <w:tr w:rsidR="000D2C05" w:rsidRPr="00436986" w14:paraId="7E8D465C" w14:textId="77777777" w:rsidTr="0084592C">
        <w:trPr>
          <w:trHeight w:val="380"/>
        </w:trPr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C85EA4" w14:textId="77777777" w:rsidR="000D2C05" w:rsidRPr="00436986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E36AA9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14 (3.5)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7F87E5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2.67 (1.31-5.42)</w:t>
            </w:r>
          </w:p>
        </w:tc>
      </w:tr>
      <w:tr w:rsidR="000D2C05" w:rsidRPr="00436986" w14:paraId="5DE4C3C3" w14:textId="77777777" w:rsidTr="0084592C">
        <w:trPr>
          <w:trHeight w:val="380"/>
        </w:trPr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D14677" w14:textId="77777777" w:rsidR="000D2C05" w:rsidRPr="00436986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88ED44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16 (4.0)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031FB8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1.71 (0.68-4.3)</w:t>
            </w:r>
          </w:p>
        </w:tc>
      </w:tr>
      <w:tr w:rsidR="000D2C05" w:rsidRPr="00436986" w14:paraId="70789C75" w14:textId="77777777" w:rsidTr="0084592C">
        <w:trPr>
          <w:trHeight w:val="380"/>
        </w:trPr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36FB97" w14:textId="77777777" w:rsidR="000D2C05" w:rsidRPr="00436986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5E8AF9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 (0.2)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06585C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16.15 (2.18-119.5)</w:t>
            </w:r>
          </w:p>
        </w:tc>
      </w:tr>
      <w:tr w:rsidR="000D2C05" w:rsidRPr="00436986" w14:paraId="11BD4F16" w14:textId="77777777" w:rsidTr="0084592C">
        <w:trPr>
          <w:trHeight w:val="38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728F1" w14:textId="77777777" w:rsidR="000D2C05" w:rsidRPr="00436986" w:rsidRDefault="000D2C05" w:rsidP="0084592C">
            <w:pPr>
              <w:spacing w:line="48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A89E1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 (2.0)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85EE6" w14:textId="77777777" w:rsidR="000D2C05" w:rsidRPr="00436986" w:rsidRDefault="000D2C05" w:rsidP="0084592C">
            <w:pPr>
              <w:spacing w:line="48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3698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3.35 (1.21-9.3)</w:t>
            </w:r>
          </w:p>
        </w:tc>
      </w:tr>
    </w:tbl>
    <w:p w14:paraId="03A52F27" w14:textId="77777777" w:rsidR="00197AB3" w:rsidRDefault="000F529A"/>
    <w:sectPr w:rsidR="00197AB3" w:rsidSect="00E735A6">
      <w:headerReference w:type="even" r:id="rId6"/>
      <w:headerReference w:type="default" r:id="rId7"/>
      <w:pgSz w:w="12240" w:h="15840"/>
      <w:pgMar w:top="1134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4557D" w14:textId="77777777" w:rsidR="000F529A" w:rsidRDefault="000F529A">
      <w:pPr>
        <w:spacing w:after="0" w:line="240" w:lineRule="auto"/>
      </w:pPr>
      <w:r>
        <w:separator/>
      </w:r>
    </w:p>
  </w:endnote>
  <w:endnote w:type="continuationSeparator" w:id="0">
    <w:p w14:paraId="4D59B6F6" w14:textId="77777777" w:rsidR="000F529A" w:rsidRDefault="000F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1B72A" w14:textId="77777777" w:rsidR="000F529A" w:rsidRDefault="000F529A">
      <w:pPr>
        <w:spacing w:after="0" w:line="240" w:lineRule="auto"/>
      </w:pPr>
      <w:r>
        <w:separator/>
      </w:r>
    </w:p>
  </w:footnote>
  <w:footnote w:type="continuationSeparator" w:id="0">
    <w:p w14:paraId="1817BA11" w14:textId="77777777" w:rsidR="000F529A" w:rsidRDefault="000F5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1541759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21D52FF" w14:textId="77777777" w:rsidR="00722FF9" w:rsidRDefault="00A420C3" w:rsidP="005A17B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05EB7B" w14:textId="77777777" w:rsidR="00722FF9" w:rsidRDefault="000F52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713510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234CD97" w14:textId="77777777" w:rsidR="00722FF9" w:rsidRDefault="00A420C3" w:rsidP="005A17B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EBFC1CC" w14:textId="77777777" w:rsidR="00722FF9" w:rsidRDefault="000F529A" w:rsidP="0009198E">
    <w:pPr>
      <w:pStyle w:val="Header"/>
    </w:pPr>
  </w:p>
  <w:p w14:paraId="6D7A69D5" w14:textId="77777777" w:rsidR="00722FF9" w:rsidRDefault="000F52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05"/>
    <w:rsid w:val="00061912"/>
    <w:rsid w:val="000643E0"/>
    <w:rsid w:val="000A3E35"/>
    <w:rsid w:val="000C3271"/>
    <w:rsid w:val="000D2C05"/>
    <w:rsid w:val="000E7FCD"/>
    <w:rsid w:val="000F529A"/>
    <w:rsid w:val="001116F6"/>
    <w:rsid w:val="00127D8A"/>
    <w:rsid w:val="001B06B6"/>
    <w:rsid w:val="001B1030"/>
    <w:rsid w:val="001E2A0D"/>
    <w:rsid w:val="00211E5C"/>
    <w:rsid w:val="002343DB"/>
    <w:rsid w:val="002348C9"/>
    <w:rsid w:val="00241211"/>
    <w:rsid w:val="002B75F3"/>
    <w:rsid w:val="002B7F92"/>
    <w:rsid w:val="002D6E00"/>
    <w:rsid w:val="00393EDC"/>
    <w:rsid w:val="003A1E55"/>
    <w:rsid w:val="003F17CA"/>
    <w:rsid w:val="0040772B"/>
    <w:rsid w:val="0047542E"/>
    <w:rsid w:val="0048281E"/>
    <w:rsid w:val="00482E44"/>
    <w:rsid w:val="004F769B"/>
    <w:rsid w:val="00506593"/>
    <w:rsid w:val="0054195F"/>
    <w:rsid w:val="0055095D"/>
    <w:rsid w:val="005972A1"/>
    <w:rsid w:val="005F38D6"/>
    <w:rsid w:val="005F444E"/>
    <w:rsid w:val="00653D40"/>
    <w:rsid w:val="00660DAF"/>
    <w:rsid w:val="00696126"/>
    <w:rsid w:val="006A6030"/>
    <w:rsid w:val="006C3848"/>
    <w:rsid w:val="006D7A7A"/>
    <w:rsid w:val="0071075B"/>
    <w:rsid w:val="007536D6"/>
    <w:rsid w:val="007572AD"/>
    <w:rsid w:val="0078268D"/>
    <w:rsid w:val="007B49B1"/>
    <w:rsid w:val="007C1F78"/>
    <w:rsid w:val="007C21AB"/>
    <w:rsid w:val="00814E93"/>
    <w:rsid w:val="008169E9"/>
    <w:rsid w:val="008505BA"/>
    <w:rsid w:val="00871F9E"/>
    <w:rsid w:val="008848FA"/>
    <w:rsid w:val="008C4052"/>
    <w:rsid w:val="00922260"/>
    <w:rsid w:val="00946D19"/>
    <w:rsid w:val="00980FEF"/>
    <w:rsid w:val="009C3957"/>
    <w:rsid w:val="009F2339"/>
    <w:rsid w:val="00A420C3"/>
    <w:rsid w:val="00A51063"/>
    <w:rsid w:val="00A645BD"/>
    <w:rsid w:val="00A75DE8"/>
    <w:rsid w:val="00AE7B5E"/>
    <w:rsid w:val="00B328F9"/>
    <w:rsid w:val="00B92F68"/>
    <w:rsid w:val="00BA4E91"/>
    <w:rsid w:val="00BC5C18"/>
    <w:rsid w:val="00BE7A3E"/>
    <w:rsid w:val="00C73708"/>
    <w:rsid w:val="00C903EE"/>
    <w:rsid w:val="00C97BDF"/>
    <w:rsid w:val="00CA421E"/>
    <w:rsid w:val="00CE7485"/>
    <w:rsid w:val="00D01EFF"/>
    <w:rsid w:val="00D06E3F"/>
    <w:rsid w:val="00D26C28"/>
    <w:rsid w:val="00D35A9D"/>
    <w:rsid w:val="00D66217"/>
    <w:rsid w:val="00D73328"/>
    <w:rsid w:val="00D87AC7"/>
    <w:rsid w:val="00DD3F9C"/>
    <w:rsid w:val="00DD44AA"/>
    <w:rsid w:val="00DF2A08"/>
    <w:rsid w:val="00E13F12"/>
    <w:rsid w:val="00E573DE"/>
    <w:rsid w:val="00E74A32"/>
    <w:rsid w:val="00ED453C"/>
    <w:rsid w:val="00F120FE"/>
    <w:rsid w:val="00F228EC"/>
    <w:rsid w:val="00F54946"/>
    <w:rsid w:val="00F7122B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E533"/>
  <w15:chartTrackingRefBased/>
  <w15:docId w15:val="{33022C2D-635C-ED4F-977D-5124242F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D2C05"/>
    <w:pPr>
      <w:spacing w:after="160" w:line="259" w:lineRule="auto"/>
    </w:pPr>
    <w:rPr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3DB"/>
    <w:pPr>
      <w:spacing w:after="0" w:line="240" w:lineRule="auto"/>
    </w:pPr>
    <w:rPr>
      <w:rFonts w:ascii="Times New Roman" w:hAnsi="Times New Roman" w:cs="Times New Roman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3D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2C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C05"/>
    <w:rPr>
      <w:sz w:val="22"/>
      <w:szCs w:val="22"/>
      <w:lang w:bidi="he-IL"/>
    </w:rPr>
  </w:style>
  <w:style w:type="table" w:styleId="TableGrid">
    <w:name w:val="Table Grid"/>
    <w:basedOn w:val="TableNormal"/>
    <w:uiPriority w:val="39"/>
    <w:rsid w:val="000D2C05"/>
    <w:rPr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D2C05"/>
  </w:style>
  <w:style w:type="character" w:styleId="LineNumber">
    <w:name w:val="line number"/>
    <w:basedOn w:val="DefaultParagraphFont"/>
    <w:uiPriority w:val="99"/>
    <w:semiHidden/>
    <w:unhideWhenUsed/>
    <w:rsid w:val="000D2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Bar</dc:creator>
  <cp:keywords/>
  <dc:description/>
  <cp:lastModifiedBy>Mel Phimester</cp:lastModifiedBy>
  <cp:revision>2</cp:revision>
  <dcterms:created xsi:type="dcterms:W3CDTF">2019-12-31T00:08:00Z</dcterms:created>
  <dcterms:modified xsi:type="dcterms:W3CDTF">2019-12-31T00:08:00Z</dcterms:modified>
</cp:coreProperties>
</file>