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D0C6E" w14:textId="528DDB1D" w:rsidR="00FE7D4C" w:rsidRPr="00FE7D4C" w:rsidRDefault="00FE7D4C" w:rsidP="00FE7D4C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E7D4C">
        <w:rPr>
          <w:rFonts w:ascii="Times New Roman" w:eastAsia="宋体" w:hAnsi="Times New Roman"/>
          <w:b/>
          <w:bCs/>
          <w:kern w:val="0"/>
          <w:sz w:val="32"/>
          <w:szCs w:val="32"/>
        </w:rPr>
        <w:t>Supplementary materials</w:t>
      </w:r>
    </w:p>
    <w:p w14:paraId="2252AB6F" w14:textId="271BC858" w:rsidR="00FE7D4C" w:rsidRDefault="00FE7D4C" w:rsidP="00FE7D4C">
      <w:pPr>
        <w:widowControl/>
        <w:shd w:val="clear" w:color="auto" w:fill="FFFFFF"/>
        <w:spacing w:before="308" w:after="154" w:line="360" w:lineRule="auto"/>
        <w:jc w:val="both"/>
        <w:outlineLvl w:val="2"/>
        <w:rPr>
          <w:rFonts w:ascii="Times New Roman" w:eastAsia="宋体" w:hAnsi="Times New Roman"/>
          <w:kern w:val="0"/>
          <w:szCs w:val="24"/>
          <w:lang w:eastAsia="zh-CN"/>
        </w:rPr>
      </w:pPr>
      <w:r w:rsidRPr="00D73B20">
        <w:rPr>
          <w:rFonts w:ascii="Times New Roman" w:eastAsia="宋体" w:hAnsi="Times New Roman"/>
          <w:kern w:val="0"/>
          <w:szCs w:val="24"/>
          <w:lang w:eastAsia="zh-CN"/>
        </w:rPr>
        <w:t xml:space="preserve">Supplementary fig. 1. There were more apoptotic cells and less ki-67 positive cells in FTY720 combined with rapamycin group. (A) FTY720 combined with rapamycin treatment contributed to tumor cells apoptosis. (B) FTY720 combined with rapamycin treatment decreased the expression of ki-67 in tumor. </w:t>
      </w:r>
    </w:p>
    <w:p w14:paraId="0E252E2E" w14:textId="1B352A3F" w:rsidR="004B1388" w:rsidRPr="00D73B20" w:rsidRDefault="004B1388" w:rsidP="004B1388">
      <w:pPr>
        <w:widowControl/>
        <w:shd w:val="clear" w:color="auto" w:fill="FFFFFF"/>
        <w:spacing w:before="308" w:after="154" w:line="360" w:lineRule="auto"/>
        <w:ind w:leftChars="354" w:left="850"/>
        <w:jc w:val="both"/>
        <w:outlineLvl w:val="2"/>
        <w:rPr>
          <w:rFonts w:ascii="Times New Roman" w:eastAsia="宋体" w:hAnsi="Times New Roman" w:hint="eastAsia"/>
          <w:kern w:val="0"/>
          <w:szCs w:val="24"/>
          <w:lang w:eastAsia="zh-CN"/>
        </w:rPr>
      </w:pPr>
      <w:r>
        <w:rPr>
          <w:rFonts w:ascii="Times New Roman" w:eastAsia="宋体" w:hAnsi="Times New Roman"/>
          <w:noProof/>
          <w:kern w:val="0"/>
          <w:szCs w:val="24"/>
          <w:lang w:eastAsia="zh-CN"/>
        </w:rPr>
        <w:drawing>
          <wp:inline distT="0" distB="0" distL="0" distR="0" wp14:anchorId="7B817F37" wp14:editId="12AEDF89">
            <wp:extent cx="3397250" cy="431118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02" cy="432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8878223" w14:textId="46687C59" w:rsidR="00FE7D4C" w:rsidRDefault="00FE7D4C" w:rsidP="00FE7D4C">
      <w:pPr>
        <w:pStyle w:val="a7"/>
        <w:ind w:leftChars="0" w:left="0"/>
        <w:jc w:val="both"/>
        <w:rPr>
          <w:rFonts w:ascii="Times New Roman" w:hAnsi="Times New Roman"/>
          <w:szCs w:val="24"/>
        </w:rPr>
      </w:pPr>
      <w:r w:rsidRPr="00D73B20">
        <w:rPr>
          <w:rFonts w:ascii="Times New Roman" w:hAnsi="Times New Roman"/>
          <w:szCs w:val="24"/>
        </w:rPr>
        <w:t>Supplementary fig 2. The overview of the story.</w:t>
      </w:r>
    </w:p>
    <w:p w14:paraId="31774623" w14:textId="77777777" w:rsidR="00FE7D4C" w:rsidRPr="00D73B20" w:rsidRDefault="00FE7D4C" w:rsidP="00FE7D4C">
      <w:pPr>
        <w:pStyle w:val="a7"/>
        <w:ind w:leftChars="0" w:left="0"/>
        <w:jc w:val="both"/>
        <w:rPr>
          <w:rFonts w:ascii="Times New Roman" w:hAnsi="Times New Roman"/>
          <w:szCs w:val="24"/>
        </w:rPr>
      </w:pPr>
    </w:p>
    <w:p w14:paraId="509121AC" w14:textId="1490867D" w:rsidR="00EB3466" w:rsidRPr="00FE7D4C" w:rsidRDefault="004B1388" w:rsidP="00FE7D4C">
      <w:pPr>
        <w:ind w:leftChars="590" w:left="1416"/>
      </w:pPr>
      <w:r>
        <w:rPr>
          <w:noProof/>
        </w:rPr>
        <w:drawing>
          <wp:inline distT="0" distB="0" distL="0" distR="0" wp14:anchorId="5E40066E" wp14:editId="0300FBBC">
            <wp:extent cx="3397250" cy="1178980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987" cy="1194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B3466" w:rsidRPr="00FE7D4C" w:rsidSect="005E10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2C8BF" w14:textId="77777777" w:rsidR="00B621AB" w:rsidRDefault="00B621AB" w:rsidP="00FE7D4C">
      <w:r>
        <w:separator/>
      </w:r>
    </w:p>
  </w:endnote>
  <w:endnote w:type="continuationSeparator" w:id="0">
    <w:p w14:paraId="00297B8D" w14:textId="77777777" w:rsidR="00B621AB" w:rsidRDefault="00B621AB" w:rsidP="00FE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7F689" w14:textId="77777777" w:rsidR="00B621AB" w:rsidRDefault="00B621AB" w:rsidP="00FE7D4C">
      <w:r>
        <w:separator/>
      </w:r>
    </w:p>
  </w:footnote>
  <w:footnote w:type="continuationSeparator" w:id="0">
    <w:p w14:paraId="4CFCB8B0" w14:textId="77777777" w:rsidR="00B621AB" w:rsidRDefault="00B621AB" w:rsidP="00FE7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2A"/>
    <w:rsid w:val="004B1388"/>
    <w:rsid w:val="00B621AB"/>
    <w:rsid w:val="00C43B2A"/>
    <w:rsid w:val="00EB3466"/>
    <w:rsid w:val="00F625FF"/>
    <w:rsid w:val="00F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8571F"/>
  <w15:chartTrackingRefBased/>
  <w15:docId w15:val="{5E4F46C5-602C-456C-A04D-36F9D072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D4C"/>
    <w:pPr>
      <w:widowControl w:val="0"/>
    </w:pPr>
    <w:rPr>
      <w:rFonts w:ascii="Calibri" w:eastAsia="PMingLiU" w:hAnsi="Calibri" w:cs="Times New Roman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FE7D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7D4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FE7D4C"/>
    <w:rPr>
      <w:sz w:val="18"/>
      <w:szCs w:val="18"/>
    </w:rPr>
  </w:style>
  <w:style w:type="paragraph" w:styleId="a7">
    <w:name w:val="List Paragraph"/>
    <w:basedOn w:val="a"/>
    <w:uiPriority w:val="34"/>
    <w:qFormat/>
    <w:rsid w:val="00FE7D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licx</dc:creator>
  <cp:keywords/>
  <dc:description/>
  <cp:lastModifiedBy>licx</cp:lastModifiedBy>
  <cp:revision>3</cp:revision>
  <dcterms:created xsi:type="dcterms:W3CDTF">2020-01-13T14:31:00Z</dcterms:created>
  <dcterms:modified xsi:type="dcterms:W3CDTF">2020-01-13T14:55:00Z</dcterms:modified>
</cp:coreProperties>
</file>