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827A2" w14:textId="52DCB5F7" w:rsidR="00551F05" w:rsidRPr="00A72B35" w:rsidRDefault="00551F05" w:rsidP="00861B37">
      <w:pPr>
        <w:spacing w:line="480" w:lineRule="auto"/>
        <w:rPr>
          <w:rFonts w:ascii="Arial" w:hAnsi="Arial" w:cs="Arial"/>
          <w:b/>
          <w:sz w:val="20"/>
          <w:szCs w:val="20"/>
        </w:rPr>
      </w:pPr>
      <w:bookmarkStart w:id="0" w:name="_Hlk16505333"/>
      <w:bookmarkStart w:id="1" w:name="_GoBack"/>
      <w:bookmarkEnd w:id="1"/>
      <w:r w:rsidRPr="00A72B35">
        <w:rPr>
          <w:rFonts w:ascii="Arial" w:hAnsi="Arial" w:cs="Arial"/>
          <w:b/>
          <w:sz w:val="20"/>
          <w:szCs w:val="20"/>
        </w:rPr>
        <w:t>Appendix A</w:t>
      </w:r>
    </w:p>
    <w:p w14:paraId="77657160"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Government documents list</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778"/>
      </w:tblGrid>
      <w:tr w:rsidR="00551F05" w:rsidRPr="00A72B35" w14:paraId="54AE47B3" w14:textId="77777777" w:rsidTr="00F96113">
        <w:trPr>
          <w:trHeight w:val="1112"/>
        </w:trPr>
        <w:tc>
          <w:tcPr>
            <w:tcW w:w="4862" w:type="dxa"/>
            <w:shd w:val="clear" w:color="auto" w:fill="auto"/>
          </w:tcPr>
          <w:p w14:paraId="09BB7613"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Relevant implementation standards and planning guidelines issued by the state</w:t>
            </w:r>
          </w:p>
        </w:tc>
        <w:tc>
          <w:tcPr>
            <w:tcW w:w="4778" w:type="dxa"/>
            <w:shd w:val="clear" w:color="auto" w:fill="auto"/>
          </w:tcPr>
          <w:p w14:paraId="77AD76AA" w14:textId="2C767E13"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China</w:t>
            </w:r>
            <w:r w:rsidR="00D406BF">
              <w:rPr>
                <w:rFonts w:ascii="Arial" w:hAnsi="Arial" w:cs="Arial"/>
                <w:bCs/>
                <w:sz w:val="20"/>
                <w:szCs w:val="20"/>
              </w:rPr>
              <w:t>’</w:t>
            </w:r>
            <w:r w:rsidRPr="00A72B35">
              <w:rPr>
                <w:rFonts w:ascii="Arial" w:hAnsi="Arial" w:cs="Arial"/>
                <w:bCs/>
                <w:sz w:val="20"/>
                <w:szCs w:val="20"/>
              </w:rPr>
              <w:t>s medium</w:t>
            </w:r>
            <w:r w:rsidR="00D406BF">
              <w:rPr>
                <w:rFonts w:ascii="Arial" w:hAnsi="Arial" w:cs="Arial"/>
                <w:bCs/>
                <w:sz w:val="20"/>
                <w:szCs w:val="20"/>
              </w:rPr>
              <w:t>-</w:t>
            </w:r>
            <w:r w:rsidRPr="00A72B35">
              <w:rPr>
                <w:rFonts w:ascii="Arial" w:hAnsi="Arial" w:cs="Arial"/>
                <w:bCs/>
                <w:sz w:val="20"/>
                <w:szCs w:val="20"/>
              </w:rPr>
              <w:t xml:space="preserve"> and long-term plan</w:t>
            </w:r>
            <w:r w:rsidR="00D406BF">
              <w:rPr>
                <w:rFonts w:ascii="Arial" w:hAnsi="Arial" w:cs="Arial"/>
                <w:bCs/>
                <w:sz w:val="20"/>
                <w:szCs w:val="20"/>
              </w:rPr>
              <w:t>s</w:t>
            </w:r>
            <w:r w:rsidRPr="00A72B35">
              <w:rPr>
                <w:rFonts w:ascii="Arial" w:hAnsi="Arial" w:cs="Arial"/>
                <w:bCs/>
                <w:sz w:val="20"/>
                <w:szCs w:val="20"/>
              </w:rPr>
              <w:t xml:space="preserve"> for </w:t>
            </w:r>
            <w:r w:rsidR="00D406BF">
              <w:rPr>
                <w:rFonts w:ascii="Arial" w:hAnsi="Arial" w:cs="Arial"/>
                <w:bCs/>
                <w:sz w:val="20"/>
                <w:szCs w:val="20"/>
              </w:rPr>
              <w:t xml:space="preserve">the </w:t>
            </w:r>
            <w:r w:rsidRPr="00A72B35">
              <w:rPr>
                <w:rFonts w:ascii="Arial" w:hAnsi="Arial" w:cs="Arial"/>
                <w:bCs/>
                <w:sz w:val="20"/>
                <w:szCs w:val="20"/>
              </w:rPr>
              <w:t>prevention and treatment of chronic diseases (2017</w:t>
            </w:r>
            <w:r w:rsidR="00D406BF">
              <w:rPr>
                <w:rFonts w:ascii="Arial" w:hAnsi="Arial" w:cs="Arial"/>
                <w:bCs/>
                <w:sz w:val="20"/>
                <w:szCs w:val="20"/>
              </w:rPr>
              <w:t>–</w:t>
            </w:r>
            <w:r w:rsidRPr="00A72B35">
              <w:rPr>
                <w:rFonts w:ascii="Arial" w:hAnsi="Arial" w:cs="Arial"/>
                <w:bCs/>
                <w:sz w:val="20"/>
                <w:szCs w:val="20"/>
              </w:rPr>
              <w:t>2025)</w:t>
            </w:r>
          </w:p>
        </w:tc>
      </w:tr>
      <w:tr w:rsidR="00551F05" w:rsidRPr="00A72B35" w14:paraId="4AEBFB2F" w14:textId="77777777" w:rsidTr="00A97F2F">
        <w:tc>
          <w:tcPr>
            <w:tcW w:w="4862" w:type="dxa"/>
            <w:shd w:val="clear" w:color="auto" w:fill="auto"/>
          </w:tcPr>
          <w:p w14:paraId="3D018641"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National Health City Evaluation Index System (2018 edition)</w:t>
            </w:r>
          </w:p>
        </w:tc>
        <w:tc>
          <w:tcPr>
            <w:tcW w:w="4778" w:type="dxa"/>
            <w:shd w:val="clear" w:color="auto" w:fill="auto"/>
          </w:tcPr>
          <w:p w14:paraId="7E88387C" w14:textId="58CF6D20"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“13th Five-Year” Plan for Healthy Aging</w:t>
            </w:r>
          </w:p>
        </w:tc>
      </w:tr>
      <w:tr w:rsidR="00551F05" w:rsidRPr="00A72B35" w14:paraId="7D9B8D74" w14:textId="77777777" w:rsidTr="00A97F2F">
        <w:tc>
          <w:tcPr>
            <w:tcW w:w="4862" w:type="dxa"/>
            <w:shd w:val="clear" w:color="auto" w:fill="auto"/>
          </w:tcPr>
          <w:p w14:paraId="5A1029F1"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 City Evaluation Index System (Draft for Comment)</w:t>
            </w:r>
          </w:p>
        </w:tc>
        <w:tc>
          <w:tcPr>
            <w:tcW w:w="4778" w:type="dxa"/>
            <w:shd w:val="clear" w:color="auto" w:fill="auto"/>
          </w:tcPr>
          <w:p w14:paraId="3925E3A9" w14:textId="289A56BE"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The “13th Five-Year” Plan for Healthy Aging Key Tasks</w:t>
            </w:r>
          </w:p>
        </w:tc>
      </w:tr>
      <w:tr w:rsidR="00551F05" w:rsidRPr="00A72B35" w14:paraId="2560D2E0" w14:textId="77777777" w:rsidTr="00A97F2F">
        <w:tc>
          <w:tcPr>
            <w:tcW w:w="4862" w:type="dxa"/>
            <w:shd w:val="clear" w:color="auto" w:fill="auto"/>
          </w:tcPr>
          <w:p w14:paraId="538E8AC8"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“Healthy China 2030” Plan</w:t>
            </w:r>
          </w:p>
        </w:tc>
        <w:tc>
          <w:tcPr>
            <w:tcW w:w="4778" w:type="dxa"/>
            <w:shd w:val="clear" w:color="auto" w:fill="auto"/>
          </w:tcPr>
          <w:p w14:paraId="1E6F0D60" w14:textId="43FE8300"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National Nutrition Plan 2017</w:t>
            </w:r>
            <w:r w:rsidR="00D406BF">
              <w:rPr>
                <w:rFonts w:ascii="Arial" w:hAnsi="Arial" w:cs="Arial"/>
                <w:bCs/>
                <w:sz w:val="20"/>
                <w:szCs w:val="20"/>
              </w:rPr>
              <w:t>–</w:t>
            </w:r>
            <w:r w:rsidRPr="00A72B35">
              <w:rPr>
                <w:rFonts w:ascii="Arial" w:hAnsi="Arial" w:cs="Arial"/>
                <w:bCs/>
                <w:sz w:val="20"/>
                <w:szCs w:val="20"/>
              </w:rPr>
              <w:t>2030</w:t>
            </w:r>
          </w:p>
        </w:tc>
      </w:tr>
      <w:tr w:rsidR="00551F05" w:rsidRPr="00A72B35" w14:paraId="6D4051E3" w14:textId="77777777" w:rsidTr="00A97F2F">
        <w:tc>
          <w:tcPr>
            <w:tcW w:w="4862" w:type="dxa"/>
            <w:shd w:val="clear" w:color="auto" w:fill="auto"/>
          </w:tcPr>
          <w:p w14:paraId="0E869B4B" w14:textId="15F477E3"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National Occupational Disease Prevention and Control Plan (2016</w:t>
            </w:r>
            <w:r w:rsidR="00D406BF">
              <w:rPr>
                <w:rFonts w:ascii="Arial" w:hAnsi="Arial" w:cs="Arial"/>
                <w:bCs/>
                <w:sz w:val="20"/>
                <w:szCs w:val="20"/>
              </w:rPr>
              <w:t>–</w:t>
            </w:r>
            <w:r w:rsidRPr="00A72B35">
              <w:rPr>
                <w:rFonts w:ascii="Arial" w:hAnsi="Arial" w:cs="Arial"/>
                <w:bCs/>
                <w:sz w:val="20"/>
                <w:szCs w:val="20"/>
              </w:rPr>
              <w:t>2020)</w:t>
            </w:r>
          </w:p>
        </w:tc>
        <w:tc>
          <w:tcPr>
            <w:tcW w:w="4778" w:type="dxa"/>
            <w:shd w:val="clear" w:color="auto" w:fill="auto"/>
          </w:tcPr>
          <w:p w14:paraId="5D003D66" w14:textId="5EA7ED9E"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National Health Literacy Promotion Action Plan (2014</w:t>
            </w:r>
            <w:r w:rsidR="00D406BF">
              <w:rPr>
                <w:rFonts w:ascii="Arial" w:hAnsi="Arial" w:cs="Arial"/>
                <w:bCs/>
                <w:sz w:val="20"/>
                <w:szCs w:val="20"/>
              </w:rPr>
              <w:t>–</w:t>
            </w:r>
            <w:r w:rsidRPr="00A72B35">
              <w:rPr>
                <w:rFonts w:ascii="Arial" w:hAnsi="Arial" w:cs="Arial"/>
                <w:bCs/>
                <w:sz w:val="20"/>
                <w:szCs w:val="20"/>
              </w:rPr>
              <w:t>2020)</w:t>
            </w:r>
          </w:p>
        </w:tc>
      </w:tr>
      <w:tr w:rsidR="00551F05" w:rsidRPr="00A72B35" w14:paraId="05576F0A" w14:textId="77777777" w:rsidTr="00A97F2F">
        <w:tc>
          <w:tcPr>
            <w:tcW w:w="4862" w:type="dxa"/>
            <w:shd w:val="clear" w:color="auto" w:fill="auto"/>
          </w:tcPr>
          <w:p w14:paraId="57925784"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Opinions of the General Office of the State Council on Further Strengthening Vaccine Circulation and Vaccination Management</w:t>
            </w:r>
          </w:p>
        </w:tc>
        <w:tc>
          <w:tcPr>
            <w:tcW w:w="4778" w:type="dxa"/>
            <w:shd w:val="clear" w:color="auto" w:fill="auto"/>
          </w:tcPr>
          <w:p w14:paraId="24344C14"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Guiding Opinions on Strengthening Health Promotion and Education</w:t>
            </w:r>
          </w:p>
        </w:tc>
      </w:tr>
      <w:tr w:rsidR="00551F05" w:rsidRPr="00A72B35" w14:paraId="027B3CB5" w14:textId="77777777" w:rsidTr="00A97F2F">
        <w:tc>
          <w:tcPr>
            <w:tcW w:w="4862" w:type="dxa"/>
            <w:shd w:val="clear" w:color="auto" w:fill="auto"/>
          </w:tcPr>
          <w:p w14:paraId="064B88F6" w14:textId="6B53C26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Chinese Medicine Health Service Development Plan (2015</w:t>
            </w:r>
            <w:r w:rsidR="00D406BF">
              <w:rPr>
                <w:rFonts w:ascii="Arial" w:hAnsi="Arial" w:cs="Arial"/>
                <w:bCs/>
                <w:sz w:val="20"/>
                <w:szCs w:val="20"/>
              </w:rPr>
              <w:t>–</w:t>
            </w:r>
            <w:r w:rsidRPr="00A72B35">
              <w:rPr>
                <w:rFonts w:ascii="Arial" w:hAnsi="Arial" w:cs="Arial"/>
                <w:bCs/>
                <w:sz w:val="20"/>
                <w:szCs w:val="20"/>
              </w:rPr>
              <w:t>2020)</w:t>
            </w:r>
          </w:p>
        </w:tc>
        <w:tc>
          <w:tcPr>
            <w:tcW w:w="4778" w:type="dxa"/>
            <w:shd w:val="clear" w:color="auto" w:fill="auto"/>
          </w:tcPr>
          <w:p w14:paraId="1AD1ECEF"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National Hygienic City Standards (2014 edition)</w:t>
            </w:r>
          </w:p>
        </w:tc>
      </w:tr>
      <w:tr w:rsidR="00551F05" w:rsidRPr="00A72B35" w14:paraId="29F9B260" w14:textId="77777777" w:rsidTr="00A97F2F">
        <w:tc>
          <w:tcPr>
            <w:tcW w:w="4862" w:type="dxa"/>
            <w:shd w:val="clear" w:color="auto" w:fill="auto"/>
          </w:tcPr>
          <w:p w14:paraId="4CD4A1DA" w14:textId="0755DADD"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 xml:space="preserve">“13th Five-Year” Plan for </w:t>
            </w:r>
            <w:r w:rsidR="00D406BF">
              <w:rPr>
                <w:rFonts w:ascii="Arial" w:hAnsi="Arial" w:cs="Arial"/>
                <w:bCs/>
                <w:sz w:val="20"/>
                <w:szCs w:val="20"/>
              </w:rPr>
              <w:t xml:space="preserve">the </w:t>
            </w:r>
            <w:r w:rsidRPr="00A72B35">
              <w:rPr>
                <w:rFonts w:ascii="Arial" w:hAnsi="Arial" w:cs="Arial"/>
                <w:bCs/>
                <w:sz w:val="20"/>
                <w:szCs w:val="20"/>
              </w:rPr>
              <w:t>Prevention and Treatment of Acute Infectious Diseases (2016</w:t>
            </w:r>
            <w:r w:rsidR="00D406BF">
              <w:rPr>
                <w:rFonts w:ascii="Arial" w:hAnsi="Arial" w:cs="Arial"/>
                <w:bCs/>
                <w:sz w:val="20"/>
                <w:szCs w:val="20"/>
              </w:rPr>
              <w:t>–</w:t>
            </w:r>
            <w:r w:rsidRPr="00A72B35">
              <w:rPr>
                <w:rFonts w:ascii="Arial" w:hAnsi="Arial" w:cs="Arial"/>
                <w:bCs/>
                <w:sz w:val="20"/>
                <w:szCs w:val="20"/>
              </w:rPr>
              <w:t>2020)</w:t>
            </w:r>
          </w:p>
        </w:tc>
        <w:tc>
          <w:tcPr>
            <w:tcW w:w="4778" w:type="dxa"/>
            <w:shd w:val="clear" w:color="auto" w:fill="auto"/>
          </w:tcPr>
          <w:p w14:paraId="14520796"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Health related documents in Chongqing and other cities:</w:t>
            </w:r>
          </w:p>
        </w:tc>
      </w:tr>
      <w:tr w:rsidR="00551F05" w:rsidRPr="00A72B35" w14:paraId="32BC06AD" w14:textId="77777777" w:rsidTr="00A97F2F">
        <w:tc>
          <w:tcPr>
            <w:tcW w:w="4862" w:type="dxa"/>
            <w:shd w:val="clear" w:color="auto" w:fill="auto"/>
          </w:tcPr>
          <w:p w14:paraId="6B3CDF25"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“13th Five-Year” Plan for National Tuberculosis Prevention and Control</w:t>
            </w:r>
          </w:p>
        </w:tc>
        <w:tc>
          <w:tcPr>
            <w:tcW w:w="4778" w:type="dxa"/>
            <w:shd w:val="clear" w:color="auto" w:fill="auto"/>
          </w:tcPr>
          <w:p w14:paraId="19497938"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“Healthy Chongqing 2030” Plan</w:t>
            </w:r>
          </w:p>
        </w:tc>
      </w:tr>
      <w:tr w:rsidR="00551F05" w:rsidRPr="00A72B35" w14:paraId="1881DB27" w14:textId="77777777" w:rsidTr="00A97F2F">
        <w:tc>
          <w:tcPr>
            <w:tcW w:w="4862" w:type="dxa"/>
            <w:shd w:val="clear" w:color="auto" w:fill="auto"/>
          </w:tcPr>
          <w:p w14:paraId="7258F090" w14:textId="03BA0411"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 xml:space="preserve">Health Community/Health Village Evaluation Reference Standard (2016 </w:t>
            </w:r>
            <w:r w:rsidR="00D406BF">
              <w:rPr>
                <w:rFonts w:ascii="Arial" w:hAnsi="Arial" w:cs="Arial"/>
                <w:bCs/>
                <w:sz w:val="20"/>
                <w:szCs w:val="20"/>
              </w:rPr>
              <w:t>e</w:t>
            </w:r>
            <w:r w:rsidR="00D406BF" w:rsidRPr="00A72B35">
              <w:rPr>
                <w:rFonts w:ascii="Arial" w:hAnsi="Arial" w:cs="Arial"/>
                <w:bCs/>
                <w:sz w:val="20"/>
                <w:szCs w:val="20"/>
              </w:rPr>
              <w:t>dition</w:t>
            </w:r>
            <w:r w:rsidRPr="00A72B35">
              <w:rPr>
                <w:rFonts w:ascii="Arial" w:hAnsi="Arial" w:cs="Arial"/>
                <w:bCs/>
                <w:sz w:val="20"/>
                <w:szCs w:val="20"/>
              </w:rPr>
              <w:t>)</w:t>
            </w:r>
          </w:p>
        </w:tc>
        <w:tc>
          <w:tcPr>
            <w:tcW w:w="4778" w:type="dxa"/>
            <w:shd w:val="clear" w:color="auto" w:fill="auto"/>
          </w:tcPr>
          <w:p w14:paraId="5911BCB9"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Chongqing City National Health Literacy Promotion Action Implementation Plan</w:t>
            </w:r>
          </w:p>
        </w:tc>
      </w:tr>
      <w:tr w:rsidR="00551F05" w:rsidRPr="00A72B35" w14:paraId="025BAC4B" w14:textId="77777777" w:rsidTr="00A97F2F">
        <w:tc>
          <w:tcPr>
            <w:tcW w:w="4862" w:type="dxa"/>
            <w:shd w:val="clear" w:color="auto" w:fill="auto"/>
          </w:tcPr>
          <w:p w14:paraId="48C127C2"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Healthy Family Reference Standard (2016 edition)</w:t>
            </w:r>
          </w:p>
        </w:tc>
        <w:tc>
          <w:tcPr>
            <w:tcW w:w="4778" w:type="dxa"/>
            <w:shd w:val="clear" w:color="auto" w:fill="auto"/>
          </w:tcPr>
          <w:p w14:paraId="351F06FB"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Administrative Measures for the Construction of Chongqing Comprehensive Prevention and Control Demonstration Zone for Chronic Diseases</w:t>
            </w:r>
          </w:p>
        </w:tc>
      </w:tr>
      <w:tr w:rsidR="00551F05" w:rsidRPr="00A72B35" w14:paraId="06C09F64" w14:textId="77777777" w:rsidTr="00A97F2F">
        <w:tc>
          <w:tcPr>
            <w:tcW w:w="4862" w:type="dxa"/>
            <w:shd w:val="clear" w:color="auto" w:fill="auto"/>
          </w:tcPr>
          <w:p w14:paraId="11ED7C4F"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 Promotion Hospital Evaluation Reference Standard (2016 edition)</w:t>
            </w:r>
          </w:p>
        </w:tc>
        <w:tc>
          <w:tcPr>
            <w:tcW w:w="4778" w:type="dxa"/>
            <w:shd w:val="clear" w:color="auto" w:fill="auto"/>
          </w:tcPr>
          <w:p w14:paraId="5EC6ABFB"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Chongqing Health and Family Planning “13th Five-Year” Plan</w:t>
            </w:r>
          </w:p>
        </w:tc>
      </w:tr>
      <w:tr w:rsidR="00551F05" w:rsidRPr="00A72B35" w14:paraId="785A030F" w14:textId="77777777" w:rsidTr="00A97F2F">
        <w:tc>
          <w:tcPr>
            <w:tcW w:w="4862" w:type="dxa"/>
            <w:shd w:val="clear" w:color="auto" w:fill="auto"/>
          </w:tcPr>
          <w:p w14:paraId="26AF85B0"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lastRenderedPageBreak/>
              <w:t>Health Promotion School Evaluation Reference Standard (2016 edition)</w:t>
            </w:r>
          </w:p>
        </w:tc>
        <w:tc>
          <w:tcPr>
            <w:tcW w:w="4778" w:type="dxa"/>
            <w:shd w:val="clear" w:color="auto" w:fill="auto"/>
          </w:tcPr>
          <w:p w14:paraId="36A879EB" w14:textId="123AA0FF"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Chongqing Sports Development “13th Five-Year” Plan</w:t>
            </w:r>
          </w:p>
        </w:tc>
      </w:tr>
      <w:tr w:rsidR="00551F05" w:rsidRPr="00A72B35" w14:paraId="20C66224" w14:textId="77777777" w:rsidTr="00A97F2F">
        <w:tc>
          <w:tcPr>
            <w:tcW w:w="4862" w:type="dxa"/>
            <w:shd w:val="clear" w:color="auto" w:fill="auto"/>
          </w:tcPr>
          <w:p w14:paraId="30345CB9"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 Promotion Agency Evaluation Reference Standard (2016 edition)</w:t>
            </w:r>
          </w:p>
        </w:tc>
        <w:tc>
          <w:tcPr>
            <w:tcW w:w="4778" w:type="dxa"/>
            <w:shd w:val="clear" w:color="auto" w:fill="auto"/>
          </w:tcPr>
          <w:p w14:paraId="63D5EBDD"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Chongqing Ecological Civilization “13th Five-Year” Plan</w:t>
            </w:r>
          </w:p>
        </w:tc>
      </w:tr>
      <w:tr w:rsidR="00551F05" w:rsidRPr="00A72B35" w14:paraId="224FFD09" w14:textId="77777777" w:rsidTr="00A97F2F">
        <w:tc>
          <w:tcPr>
            <w:tcW w:w="4862" w:type="dxa"/>
            <w:shd w:val="clear" w:color="auto" w:fill="auto"/>
          </w:tcPr>
          <w:p w14:paraId="75AFC548"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 Promotion Enterprise Evaluation Reference Standard (2016 edition)</w:t>
            </w:r>
          </w:p>
        </w:tc>
        <w:tc>
          <w:tcPr>
            <w:tcW w:w="4778" w:type="dxa"/>
            <w:shd w:val="clear" w:color="auto" w:fill="auto"/>
          </w:tcPr>
          <w:p w14:paraId="733062EC" w14:textId="6E3F1F8A"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“Healthy Nan’an 2030” Plan</w:t>
            </w:r>
          </w:p>
        </w:tc>
      </w:tr>
      <w:tr w:rsidR="00551F05" w:rsidRPr="00A72B35" w14:paraId="64CC4B1D" w14:textId="77777777" w:rsidTr="00A97F2F">
        <w:tc>
          <w:tcPr>
            <w:tcW w:w="4862" w:type="dxa"/>
            <w:shd w:val="clear" w:color="auto" w:fill="auto"/>
          </w:tcPr>
          <w:p w14:paraId="71AAFB23"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“13th Five-Year” Plan for Health and Wellness</w:t>
            </w:r>
          </w:p>
        </w:tc>
        <w:tc>
          <w:tcPr>
            <w:tcW w:w="4778" w:type="dxa"/>
            <w:shd w:val="clear" w:color="auto" w:fill="auto"/>
          </w:tcPr>
          <w:p w14:paraId="477168BF"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Beijing Municipality Controlling Smoking Regulations</w:t>
            </w:r>
          </w:p>
        </w:tc>
      </w:tr>
      <w:tr w:rsidR="00551F05" w:rsidRPr="00A72B35" w14:paraId="0F472C80" w14:textId="77777777" w:rsidTr="00A97F2F">
        <w:tc>
          <w:tcPr>
            <w:tcW w:w="4862" w:type="dxa"/>
            <w:shd w:val="clear" w:color="auto" w:fill="auto"/>
          </w:tcPr>
          <w:p w14:paraId="0C6A8EAD" w14:textId="1E77B029"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 xml:space="preserve">Work </w:t>
            </w:r>
            <w:r w:rsidR="00D406BF">
              <w:rPr>
                <w:rFonts w:ascii="Arial" w:hAnsi="Arial" w:cs="Arial"/>
                <w:bCs/>
                <w:sz w:val="20"/>
                <w:szCs w:val="20"/>
              </w:rPr>
              <w:t>G</w:t>
            </w:r>
            <w:r w:rsidR="00D406BF" w:rsidRPr="00A72B35">
              <w:rPr>
                <w:rFonts w:ascii="Arial" w:hAnsi="Arial" w:cs="Arial"/>
                <w:bCs/>
                <w:sz w:val="20"/>
                <w:szCs w:val="20"/>
              </w:rPr>
              <w:t xml:space="preserve">uide </w:t>
            </w:r>
            <w:r w:rsidRPr="00A72B35">
              <w:rPr>
                <w:rFonts w:ascii="Arial" w:hAnsi="Arial" w:cs="Arial"/>
                <w:bCs/>
                <w:sz w:val="20"/>
                <w:szCs w:val="20"/>
              </w:rPr>
              <w:t xml:space="preserve">of Health and Family Planning </w:t>
            </w:r>
            <w:r w:rsidR="00D406BF">
              <w:rPr>
                <w:rFonts w:ascii="Arial" w:hAnsi="Arial" w:cs="Arial"/>
                <w:bCs/>
                <w:sz w:val="20"/>
                <w:szCs w:val="20"/>
              </w:rPr>
              <w:t>G</w:t>
            </w:r>
            <w:r w:rsidR="00D406BF" w:rsidRPr="00A72B35">
              <w:rPr>
                <w:rFonts w:ascii="Arial" w:hAnsi="Arial" w:cs="Arial"/>
                <w:bCs/>
                <w:sz w:val="20"/>
                <w:szCs w:val="20"/>
              </w:rPr>
              <w:t xml:space="preserve">rassroots </w:t>
            </w:r>
            <w:r w:rsidR="00D406BF">
              <w:rPr>
                <w:rFonts w:ascii="Arial" w:hAnsi="Arial" w:cs="Arial"/>
                <w:bCs/>
                <w:sz w:val="20"/>
                <w:szCs w:val="20"/>
              </w:rPr>
              <w:t>I</w:t>
            </w:r>
            <w:r w:rsidR="00D406BF" w:rsidRPr="00A72B35">
              <w:rPr>
                <w:rFonts w:ascii="Arial" w:hAnsi="Arial" w:cs="Arial"/>
                <w:bCs/>
                <w:sz w:val="20"/>
                <w:szCs w:val="20"/>
              </w:rPr>
              <w:t xml:space="preserve">nstitutions </w:t>
            </w:r>
            <w:r w:rsidRPr="00A72B35">
              <w:rPr>
                <w:rFonts w:ascii="Arial" w:hAnsi="Arial" w:cs="Arial"/>
                <w:bCs/>
                <w:sz w:val="20"/>
                <w:szCs w:val="20"/>
              </w:rPr>
              <w:t xml:space="preserve">for Food Safety </w:t>
            </w:r>
          </w:p>
        </w:tc>
        <w:tc>
          <w:tcPr>
            <w:tcW w:w="4778" w:type="dxa"/>
            <w:shd w:val="clear" w:color="auto" w:fill="auto"/>
          </w:tcPr>
          <w:p w14:paraId="6EF02EFA" w14:textId="581A5D18"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Western Health Action-Chongqing Health Baseline Survey Report</w:t>
            </w:r>
          </w:p>
        </w:tc>
      </w:tr>
      <w:tr w:rsidR="00551F05" w:rsidRPr="00A72B35" w14:paraId="0A999B4D" w14:textId="77777777" w:rsidTr="00A97F2F">
        <w:tc>
          <w:tcPr>
            <w:tcW w:w="4862" w:type="dxa"/>
            <w:shd w:val="clear" w:color="auto" w:fill="auto"/>
          </w:tcPr>
          <w:p w14:paraId="3882F1C2" w14:textId="06724142"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National Health Service System Plan (2015</w:t>
            </w:r>
            <w:r w:rsidR="00D406BF">
              <w:rPr>
                <w:rFonts w:ascii="Arial" w:hAnsi="Arial" w:cs="Arial"/>
                <w:bCs/>
                <w:sz w:val="20"/>
                <w:szCs w:val="20"/>
              </w:rPr>
              <w:t>–</w:t>
            </w:r>
            <w:r w:rsidRPr="00A72B35">
              <w:rPr>
                <w:rFonts w:ascii="Arial" w:hAnsi="Arial" w:cs="Arial"/>
                <w:bCs/>
                <w:sz w:val="20"/>
                <w:szCs w:val="20"/>
              </w:rPr>
              <w:t>2020)</w:t>
            </w:r>
          </w:p>
        </w:tc>
        <w:tc>
          <w:tcPr>
            <w:tcW w:w="4778" w:type="dxa"/>
            <w:shd w:val="clear" w:color="auto" w:fill="auto"/>
          </w:tcPr>
          <w:p w14:paraId="12816F5A" w14:textId="77777777"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“Healthy Beijing 2030” Plan</w:t>
            </w:r>
          </w:p>
        </w:tc>
      </w:tr>
    </w:tbl>
    <w:p w14:paraId="41E79703" w14:textId="77777777" w:rsidR="00551F05" w:rsidRPr="00A72B35" w:rsidRDefault="00551F05" w:rsidP="00861B37">
      <w:pPr>
        <w:spacing w:line="480" w:lineRule="auto"/>
        <w:rPr>
          <w:rFonts w:ascii="Arial" w:hAnsi="Arial" w:cs="Arial"/>
          <w:b/>
          <w:bCs/>
          <w:sz w:val="20"/>
          <w:szCs w:val="20"/>
        </w:rPr>
      </w:pPr>
    </w:p>
    <w:p w14:paraId="6C993736" w14:textId="6771DA5C" w:rsidR="00551F05" w:rsidRPr="00A72B35" w:rsidRDefault="00551F05" w:rsidP="00861B37">
      <w:pPr>
        <w:spacing w:line="480" w:lineRule="auto"/>
        <w:rPr>
          <w:rFonts w:ascii="Arial" w:hAnsi="Arial" w:cs="Arial"/>
          <w:b/>
          <w:bCs/>
          <w:sz w:val="20"/>
          <w:szCs w:val="20"/>
        </w:rPr>
      </w:pPr>
      <w:r w:rsidRPr="00A72B35">
        <w:rPr>
          <w:rFonts w:ascii="Arial" w:hAnsi="Arial" w:cs="Arial"/>
          <w:b/>
          <w:bCs/>
          <w:sz w:val="20"/>
          <w:szCs w:val="20"/>
        </w:rPr>
        <w:t>Appendix B</w:t>
      </w:r>
    </w:p>
    <w:p w14:paraId="4CE80CC0" w14:textId="77777777" w:rsidR="00551F05" w:rsidRPr="00A72B35" w:rsidRDefault="00551F05" w:rsidP="00861B37">
      <w:pPr>
        <w:spacing w:line="480" w:lineRule="auto"/>
        <w:rPr>
          <w:rFonts w:ascii="Arial" w:hAnsi="Arial" w:cs="Arial"/>
          <w:b/>
          <w:bCs/>
          <w:sz w:val="20"/>
          <w:szCs w:val="20"/>
        </w:rPr>
      </w:pPr>
      <w:r w:rsidRPr="00A72B35">
        <w:rPr>
          <w:rFonts w:ascii="Arial" w:hAnsi="Arial" w:cs="Arial"/>
          <w:b/>
          <w:bCs/>
          <w:sz w:val="20"/>
          <w:szCs w:val="20"/>
        </w:rPr>
        <w:t xml:space="preserve"> Suggestions of experts from the first round of focus group discussions</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551F05" w:rsidRPr="00A72B35" w14:paraId="51E71D35" w14:textId="77777777" w:rsidTr="00A97F2F">
        <w:tc>
          <w:tcPr>
            <w:tcW w:w="3544" w:type="dxa"/>
            <w:shd w:val="clear" w:color="auto" w:fill="auto"/>
          </w:tcPr>
          <w:p w14:paraId="7D3DFE95" w14:textId="77777777" w:rsidR="00551F05" w:rsidRPr="00A72B35" w:rsidRDefault="00551F05" w:rsidP="00861B37">
            <w:pPr>
              <w:spacing w:line="480" w:lineRule="auto"/>
              <w:rPr>
                <w:rFonts w:ascii="Arial" w:hAnsi="Arial" w:cs="Arial"/>
                <w:b/>
                <w:sz w:val="20"/>
                <w:szCs w:val="20"/>
                <w:lang w:val="en"/>
              </w:rPr>
            </w:pPr>
            <w:r w:rsidRPr="00A72B35">
              <w:rPr>
                <w:rFonts w:ascii="Arial" w:hAnsi="Arial" w:cs="Arial"/>
                <w:b/>
                <w:sz w:val="20"/>
                <w:szCs w:val="20"/>
                <w:lang w:val="en"/>
              </w:rPr>
              <w:t xml:space="preserve">Key points </w:t>
            </w:r>
          </w:p>
        </w:tc>
        <w:tc>
          <w:tcPr>
            <w:tcW w:w="6237" w:type="dxa"/>
            <w:shd w:val="clear" w:color="auto" w:fill="auto"/>
          </w:tcPr>
          <w:p w14:paraId="4E5C9C5B"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Detailed suggestions and opinions</w:t>
            </w:r>
          </w:p>
        </w:tc>
      </w:tr>
      <w:tr w:rsidR="00551F05" w:rsidRPr="00A72B35" w14:paraId="02B5D877" w14:textId="77777777" w:rsidTr="00A97F2F">
        <w:tc>
          <w:tcPr>
            <w:tcW w:w="3544" w:type="dxa"/>
            <w:shd w:val="clear" w:color="auto" w:fill="auto"/>
          </w:tcPr>
          <w:p w14:paraId="2A586567" w14:textId="7A74ECCD"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lang w:val="en"/>
              </w:rPr>
              <w:t xml:space="preserve">The indicator framework should be fully integrated with </w:t>
            </w:r>
            <w:r w:rsidR="00D406BF">
              <w:rPr>
                <w:rFonts w:ascii="Arial" w:hAnsi="Arial" w:cs="Arial"/>
                <w:bCs/>
                <w:sz w:val="20"/>
                <w:szCs w:val="20"/>
                <w:lang w:val="en"/>
              </w:rPr>
              <w:t>other</w:t>
            </w:r>
            <w:r w:rsidR="00D406BF" w:rsidRPr="00A72B35">
              <w:rPr>
                <w:rFonts w:ascii="Arial" w:hAnsi="Arial" w:cs="Arial"/>
                <w:bCs/>
                <w:sz w:val="20"/>
                <w:szCs w:val="20"/>
                <w:lang w:val="en"/>
              </w:rPr>
              <w:t xml:space="preserve"> </w:t>
            </w:r>
            <w:r w:rsidRPr="00A72B35">
              <w:rPr>
                <w:rFonts w:ascii="Arial" w:hAnsi="Arial" w:cs="Arial"/>
                <w:bCs/>
                <w:sz w:val="20"/>
                <w:szCs w:val="20"/>
                <w:lang w:val="en"/>
              </w:rPr>
              <w:t>national polic</w:t>
            </w:r>
            <w:r w:rsidR="00D406BF">
              <w:rPr>
                <w:rFonts w:ascii="Arial" w:hAnsi="Arial" w:cs="Arial"/>
                <w:bCs/>
                <w:sz w:val="20"/>
                <w:szCs w:val="20"/>
                <w:lang w:val="en"/>
              </w:rPr>
              <w:t>ies</w:t>
            </w:r>
            <w:r w:rsidRPr="00A72B35">
              <w:rPr>
                <w:rFonts w:ascii="Arial" w:hAnsi="Arial" w:cs="Arial"/>
                <w:bCs/>
                <w:sz w:val="20"/>
                <w:szCs w:val="20"/>
                <w:lang w:val="en"/>
              </w:rPr>
              <w:t xml:space="preserve"> and </w:t>
            </w:r>
            <w:r w:rsidR="00D406BF">
              <w:rPr>
                <w:rFonts w:ascii="Arial" w:hAnsi="Arial" w:cs="Arial"/>
                <w:bCs/>
                <w:sz w:val="20"/>
                <w:szCs w:val="20"/>
                <w:lang w:val="en"/>
              </w:rPr>
              <w:t xml:space="preserve">must </w:t>
            </w:r>
            <w:r w:rsidRPr="00A72B35">
              <w:rPr>
                <w:rFonts w:ascii="Arial" w:hAnsi="Arial" w:cs="Arial"/>
                <w:bCs/>
                <w:sz w:val="20"/>
                <w:szCs w:val="20"/>
                <w:lang w:val="en"/>
              </w:rPr>
              <w:t xml:space="preserve">contain </w:t>
            </w:r>
            <w:r w:rsidR="00D406BF">
              <w:rPr>
                <w:rFonts w:ascii="Arial" w:hAnsi="Arial" w:cs="Arial"/>
                <w:bCs/>
                <w:sz w:val="20"/>
                <w:szCs w:val="20"/>
                <w:lang w:val="en"/>
              </w:rPr>
              <w:t>additional</w:t>
            </w:r>
            <w:r w:rsidR="00D406BF" w:rsidRPr="00A72B35">
              <w:rPr>
                <w:rFonts w:ascii="Arial" w:hAnsi="Arial" w:cs="Arial"/>
                <w:bCs/>
                <w:sz w:val="20"/>
                <w:szCs w:val="20"/>
                <w:lang w:val="en"/>
              </w:rPr>
              <w:t xml:space="preserve"> </w:t>
            </w:r>
            <w:r w:rsidRPr="00A72B35">
              <w:rPr>
                <w:rFonts w:ascii="Arial" w:hAnsi="Arial" w:cs="Arial"/>
                <w:bCs/>
                <w:sz w:val="20"/>
                <w:szCs w:val="20"/>
                <w:lang w:val="en"/>
              </w:rPr>
              <w:t>extensive contents.</w:t>
            </w:r>
          </w:p>
        </w:tc>
        <w:tc>
          <w:tcPr>
            <w:tcW w:w="6237" w:type="dxa"/>
            <w:shd w:val="clear" w:color="auto" w:fill="auto"/>
          </w:tcPr>
          <w:p w14:paraId="1C36F085" w14:textId="37A25A5B"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 xml:space="preserve">1. The indicators should fully integrate the contents of the </w:t>
            </w:r>
            <w:r w:rsidR="007103E1" w:rsidRPr="00A72B35">
              <w:rPr>
                <w:rFonts w:ascii="Arial" w:hAnsi="Arial" w:cs="Arial"/>
                <w:bCs/>
                <w:sz w:val="20"/>
                <w:szCs w:val="20"/>
                <w:lang w:val="en"/>
              </w:rPr>
              <w:t>“</w:t>
            </w:r>
            <w:r w:rsidRPr="00A72B35">
              <w:rPr>
                <w:rFonts w:ascii="Arial" w:hAnsi="Arial" w:cs="Arial"/>
                <w:bCs/>
                <w:sz w:val="20"/>
                <w:szCs w:val="20"/>
                <w:lang w:val="en"/>
              </w:rPr>
              <w:t>Healthy Chongqing 2030</w:t>
            </w:r>
            <w:r w:rsidR="007103E1" w:rsidRPr="00A72B35">
              <w:rPr>
                <w:rFonts w:ascii="Arial" w:hAnsi="Arial" w:cs="Arial"/>
                <w:bCs/>
                <w:sz w:val="20"/>
                <w:szCs w:val="20"/>
                <w:lang w:val="en"/>
              </w:rPr>
              <w:t>”</w:t>
            </w:r>
            <w:r w:rsidRPr="00A72B35">
              <w:rPr>
                <w:rFonts w:ascii="Arial" w:hAnsi="Arial" w:cs="Arial"/>
                <w:bCs/>
                <w:sz w:val="20"/>
                <w:szCs w:val="20"/>
                <w:lang w:val="en"/>
              </w:rPr>
              <w:t xml:space="preserve"> </w:t>
            </w:r>
            <w:r w:rsidR="00D406BF">
              <w:rPr>
                <w:rFonts w:ascii="Arial" w:hAnsi="Arial" w:cs="Arial"/>
                <w:bCs/>
                <w:sz w:val="20"/>
                <w:szCs w:val="20"/>
                <w:lang w:val="en"/>
              </w:rPr>
              <w:t>P</w:t>
            </w:r>
            <w:r w:rsidR="00D406BF" w:rsidRPr="00A72B35">
              <w:rPr>
                <w:rFonts w:ascii="Arial" w:hAnsi="Arial" w:cs="Arial"/>
                <w:bCs/>
                <w:sz w:val="20"/>
                <w:szCs w:val="20"/>
                <w:lang w:val="en"/>
              </w:rPr>
              <w:t xml:space="preserve">lan </w:t>
            </w:r>
            <w:r w:rsidRPr="00A72B35">
              <w:rPr>
                <w:rFonts w:ascii="Arial" w:hAnsi="Arial" w:cs="Arial"/>
                <w:bCs/>
                <w:sz w:val="20"/>
                <w:szCs w:val="20"/>
                <w:lang w:val="en"/>
              </w:rPr>
              <w:t xml:space="preserve">and the </w:t>
            </w:r>
            <w:r w:rsidRPr="00A72B35">
              <w:rPr>
                <w:rFonts w:ascii="Arial" w:hAnsi="Arial" w:cs="Arial"/>
                <w:bCs/>
                <w:sz w:val="20"/>
                <w:szCs w:val="20"/>
              </w:rPr>
              <w:t xml:space="preserve">19th </w:t>
            </w:r>
            <w:r w:rsidR="00D406BF">
              <w:rPr>
                <w:rFonts w:ascii="Arial" w:hAnsi="Arial" w:cs="Arial"/>
                <w:bCs/>
                <w:sz w:val="20"/>
                <w:szCs w:val="20"/>
              </w:rPr>
              <w:t>S</w:t>
            </w:r>
            <w:r w:rsidRPr="00A72B35">
              <w:rPr>
                <w:rFonts w:ascii="Arial" w:hAnsi="Arial" w:cs="Arial"/>
                <w:bCs/>
                <w:sz w:val="20"/>
                <w:szCs w:val="20"/>
              </w:rPr>
              <w:t xml:space="preserve">ession of </w:t>
            </w:r>
            <w:r w:rsidR="00D406BF">
              <w:rPr>
                <w:rFonts w:ascii="Arial" w:hAnsi="Arial" w:cs="Arial"/>
                <w:bCs/>
                <w:sz w:val="20"/>
                <w:szCs w:val="20"/>
              </w:rPr>
              <w:t>the N</w:t>
            </w:r>
            <w:r w:rsidRPr="00A72B35">
              <w:rPr>
                <w:rFonts w:ascii="Arial" w:hAnsi="Arial" w:cs="Arial"/>
                <w:bCs/>
                <w:sz w:val="20"/>
                <w:szCs w:val="20"/>
              </w:rPr>
              <w:t xml:space="preserve">ational </w:t>
            </w:r>
            <w:r w:rsidR="00D406BF">
              <w:rPr>
                <w:rFonts w:ascii="Arial" w:hAnsi="Arial" w:cs="Arial"/>
                <w:bCs/>
                <w:sz w:val="20"/>
                <w:szCs w:val="20"/>
              </w:rPr>
              <w:t>C</w:t>
            </w:r>
            <w:r w:rsidR="00D406BF" w:rsidRPr="00A72B35">
              <w:rPr>
                <w:rFonts w:ascii="Arial" w:hAnsi="Arial" w:cs="Arial"/>
                <w:bCs/>
                <w:sz w:val="20"/>
                <w:szCs w:val="20"/>
              </w:rPr>
              <w:t xml:space="preserve">ongress </w:t>
            </w:r>
            <w:r w:rsidRPr="00A72B35">
              <w:rPr>
                <w:rFonts w:ascii="Arial" w:hAnsi="Arial" w:cs="Arial"/>
                <w:bCs/>
                <w:sz w:val="20"/>
                <w:szCs w:val="20"/>
              </w:rPr>
              <w:t>of the communist party of China</w:t>
            </w:r>
            <w:r w:rsidR="00D406BF">
              <w:rPr>
                <w:rFonts w:ascii="Arial" w:hAnsi="Arial" w:cs="Arial"/>
                <w:bCs/>
                <w:sz w:val="20"/>
                <w:szCs w:val="20"/>
              </w:rPr>
              <w:t>. Furthermore,</w:t>
            </w:r>
            <w:r w:rsidR="007A1ACD">
              <w:rPr>
                <w:rFonts w:ascii="Arial" w:hAnsi="Arial" w:cs="Arial"/>
                <w:bCs/>
                <w:sz w:val="20"/>
                <w:szCs w:val="20"/>
              </w:rPr>
              <w:t xml:space="preserve"> such indicators </w:t>
            </w:r>
            <w:r w:rsidR="007A1ACD">
              <w:rPr>
                <w:rFonts w:ascii="Arial" w:hAnsi="Arial" w:cs="Arial"/>
                <w:bCs/>
                <w:sz w:val="20"/>
                <w:szCs w:val="20"/>
                <w:lang w:val="en"/>
              </w:rPr>
              <w:t xml:space="preserve">must be </w:t>
            </w:r>
            <w:r w:rsidRPr="00A72B35">
              <w:rPr>
                <w:rFonts w:ascii="Arial" w:hAnsi="Arial" w:cs="Arial"/>
                <w:bCs/>
                <w:sz w:val="20"/>
                <w:szCs w:val="20"/>
                <w:lang w:val="en"/>
              </w:rPr>
              <w:t>combine</w:t>
            </w:r>
            <w:r w:rsidR="007A1ACD">
              <w:rPr>
                <w:rFonts w:ascii="Arial" w:hAnsi="Arial" w:cs="Arial"/>
                <w:bCs/>
                <w:sz w:val="20"/>
                <w:szCs w:val="20"/>
                <w:lang w:val="en"/>
              </w:rPr>
              <w:t>d</w:t>
            </w:r>
            <w:r w:rsidRPr="00A72B35">
              <w:rPr>
                <w:rFonts w:ascii="Arial" w:hAnsi="Arial" w:cs="Arial"/>
                <w:bCs/>
                <w:sz w:val="20"/>
                <w:szCs w:val="20"/>
                <w:lang w:val="en"/>
              </w:rPr>
              <w:t xml:space="preserve"> with the current </w:t>
            </w:r>
            <w:r w:rsidR="007A1ACD">
              <w:rPr>
                <w:rFonts w:ascii="Arial" w:hAnsi="Arial" w:cs="Arial"/>
                <w:bCs/>
                <w:sz w:val="20"/>
                <w:szCs w:val="20"/>
                <w:lang w:val="en"/>
              </w:rPr>
              <w:t>tasks</w:t>
            </w:r>
            <w:r w:rsidR="007A1ACD" w:rsidRPr="00A72B35">
              <w:rPr>
                <w:rFonts w:ascii="Arial" w:hAnsi="Arial" w:cs="Arial"/>
                <w:bCs/>
                <w:sz w:val="20"/>
                <w:szCs w:val="20"/>
                <w:lang w:val="en"/>
              </w:rPr>
              <w:t xml:space="preserve"> </w:t>
            </w:r>
            <w:r w:rsidRPr="00A72B35">
              <w:rPr>
                <w:rFonts w:ascii="Arial" w:hAnsi="Arial" w:cs="Arial"/>
                <w:bCs/>
                <w:sz w:val="20"/>
                <w:szCs w:val="20"/>
                <w:lang w:val="en"/>
              </w:rPr>
              <w:t>of related departments.</w:t>
            </w:r>
            <w:r w:rsidRPr="00A72B35">
              <w:rPr>
                <w:rFonts w:ascii="Arial" w:hAnsi="Arial" w:cs="Arial"/>
                <w:bCs/>
                <w:sz w:val="20"/>
                <w:szCs w:val="20"/>
              </w:rPr>
              <w:t xml:space="preserve"> </w:t>
            </w:r>
          </w:p>
        </w:tc>
      </w:tr>
      <w:tr w:rsidR="00551F05" w:rsidRPr="00A72B35" w14:paraId="0379E59E" w14:textId="77777777" w:rsidTr="00A97F2F">
        <w:tc>
          <w:tcPr>
            <w:tcW w:w="3544" w:type="dxa"/>
            <w:shd w:val="clear" w:color="auto" w:fill="auto"/>
          </w:tcPr>
          <w:p w14:paraId="153DFEE9" w14:textId="77777777" w:rsidR="00551F05" w:rsidRPr="00A72B35" w:rsidRDefault="00551F05" w:rsidP="00861B37">
            <w:pPr>
              <w:spacing w:line="480" w:lineRule="auto"/>
              <w:rPr>
                <w:rFonts w:ascii="Arial" w:hAnsi="Arial" w:cs="Arial"/>
                <w:bCs/>
                <w:sz w:val="20"/>
                <w:szCs w:val="20"/>
              </w:rPr>
            </w:pPr>
          </w:p>
        </w:tc>
        <w:tc>
          <w:tcPr>
            <w:tcW w:w="6237" w:type="dxa"/>
            <w:shd w:val="clear" w:color="auto" w:fill="auto"/>
          </w:tcPr>
          <w:p w14:paraId="0668F489" w14:textId="1F7DA7D7"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 xml:space="preserve">2. </w:t>
            </w:r>
            <w:r w:rsidR="005F09A9">
              <w:rPr>
                <w:rFonts w:ascii="Arial" w:hAnsi="Arial" w:cs="Arial"/>
                <w:bCs/>
                <w:sz w:val="20"/>
                <w:szCs w:val="20"/>
                <w:lang w:val="en"/>
              </w:rPr>
              <w:t>T</w:t>
            </w:r>
            <w:r w:rsidRPr="00A72B35">
              <w:rPr>
                <w:rFonts w:ascii="Arial" w:hAnsi="Arial" w:cs="Arial"/>
                <w:bCs/>
                <w:sz w:val="20"/>
                <w:szCs w:val="20"/>
                <w:lang w:val="en"/>
              </w:rPr>
              <w:t>he</w:t>
            </w:r>
            <w:r w:rsidR="005F09A9">
              <w:rPr>
                <w:rFonts w:ascii="Arial" w:hAnsi="Arial" w:cs="Arial" w:hint="eastAsia"/>
                <w:bCs/>
                <w:sz w:val="20"/>
                <w:szCs w:val="20"/>
                <w:lang w:val="en"/>
              </w:rPr>
              <w:t>se</w:t>
            </w:r>
            <w:r w:rsidRPr="00A72B35">
              <w:rPr>
                <w:rFonts w:ascii="Arial" w:hAnsi="Arial" w:cs="Arial"/>
                <w:bCs/>
                <w:sz w:val="20"/>
                <w:szCs w:val="20"/>
                <w:lang w:val="en"/>
              </w:rPr>
              <w:t xml:space="preserve"> essential indicators in the </w:t>
            </w:r>
            <w:r w:rsidR="005F09A9">
              <w:rPr>
                <w:rFonts w:ascii="Arial" w:hAnsi="Arial" w:cs="Arial"/>
                <w:bCs/>
                <w:sz w:val="20"/>
                <w:szCs w:val="20"/>
                <w:lang w:val="en"/>
              </w:rPr>
              <w:t xml:space="preserve">following </w:t>
            </w:r>
            <w:r w:rsidRPr="00A72B35">
              <w:rPr>
                <w:rFonts w:ascii="Arial" w:hAnsi="Arial" w:cs="Arial"/>
                <w:bCs/>
                <w:sz w:val="20"/>
                <w:szCs w:val="20"/>
                <w:lang w:val="en"/>
              </w:rPr>
              <w:t xml:space="preserve">aspects </w:t>
            </w:r>
            <w:r w:rsidR="005F09A9">
              <w:rPr>
                <w:rFonts w:ascii="Arial" w:hAnsi="Arial" w:cs="Arial"/>
                <w:bCs/>
                <w:sz w:val="20"/>
                <w:szCs w:val="20"/>
                <w:lang w:val="en"/>
              </w:rPr>
              <w:t>should be c</w:t>
            </w:r>
            <w:r w:rsidR="005F09A9" w:rsidRPr="00A72B35">
              <w:rPr>
                <w:rFonts w:ascii="Arial" w:hAnsi="Arial" w:cs="Arial"/>
                <w:bCs/>
                <w:sz w:val="20"/>
                <w:szCs w:val="20"/>
                <w:lang w:val="en"/>
              </w:rPr>
              <w:t>onsider</w:t>
            </w:r>
            <w:r w:rsidR="005F09A9">
              <w:rPr>
                <w:rFonts w:ascii="Arial" w:hAnsi="Arial" w:cs="Arial"/>
                <w:bCs/>
                <w:sz w:val="20"/>
                <w:szCs w:val="20"/>
                <w:lang w:val="en"/>
              </w:rPr>
              <w:t xml:space="preserve">ed: </w:t>
            </w:r>
            <w:r w:rsidRPr="00A72B35">
              <w:rPr>
                <w:rFonts w:ascii="Arial" w:hAnsi="Arial" w:cs="Arial"/>
                <w:bCs/>
                <w:sz w:val="20"/>
                <w:szCs w:val="20"/>
                <w:lang w:val="en"/>
              </w:rPr>
              <w:t>chronic disease</w:t>
            </w:r>
            <w:r w:rsidR="007A1ACD">
              <w:rPr>
                <w:rFonts w:ascii="Arial" w:hAnsi="Arial" w:cs="Arial"/>
                <w:bCs/>
                <w:sz w:val="20"/>
                <w:szCs w:val="20"/>
                <w:lang w:val="en"/>
              </w:rPr>
              <w:t>s</w:t>
            </w:r>
            <w:r w:rsidRPr="00A72B35">
              <w:rPr>
                <w:rFonts w:ascii="Arial" w:hAnsi="Arial" w:cs="Arial"/>
                <w:bCs/>
                <w:sz w:val="20"/>
                <w:szCs w:val="20"/>
                <w:lang w:val="en"/>
              </w:rPr>
              <w:t>, food and drug</w:t>
            </w:r>
            <w:r w:rsidR="007A1ACD">
              <w:rPr>
                <w:rFonts w:ascii="Arial" w:hAnsi="Arial" w:cs="Arial"/>
                <w:bCs/>
                <w:sz w:val="20"/>
                <w:szCs w:val="20"/>
                <w:lang w:val="en"/>
              </w:rPr>
              <w:t>s</w:t>
            </w:r>
            <w:r w:rsidRPr="00A72B35">
              <w:rPr>
                <w:rFonts w:ascii="Arial" w:hAnsi="Arial" w:cs="Arial"/>
                <w:bCs/>
                <w:sz w:val="20"/>
                <w:szCs w:val="20"/>
                <w:lang w:val="en"/>
              </w:rPr>
              <w:t xml:space="preserve">, </w:t>
            </w:r>
            <w:r w:rsidR="007A1ACD">
              <w:rPr>
                <w:rFonts w:ascii="Arial" w:hAnsi="Arial" w:cs="Arial"/>
                <w:bCs/>
                <w:sz w:val="20"/>
                <w:szCs w:val="20"/>
                <w:lang w:val="en"/>
              </w:rPr>
              <w:t>the integration</w:t>
            </w:r>
            <w:r w:rsidRPr="00A72B35">
              <w:rPr>
                <w:rFonts w:ascii="Arial" w:hAnsi="Arial" w:cs="Arial"/>
                <w:bCs/>
                <w:sz w:val="20"/>
                <w:szCs w:val="20"/>
                <w:lang w:val="en"/>
              </w:rPr>
              <w:t xml:space="preserve"> of Chinese traditional and Western medicine, health industry, and combination of medical and health care.</w:t>
            </w:r>
          </w:p>
        </w:tc>
      </w:tr>
      <w:tr w:rsidR="00551F05" w:rsidRPr="00A72B35" w14:paraId="2B3B7138" w14:textId="77777777" w:rsidTr="00A97F2F">
        <w:tc>
          <w:tcPr>
            <w:tcW w:w="3544" w:type="dxa"/>
            <w:shd w:val="clear" w:color="auto" w:fill="auto"/>
          </w:tcPr>
          <w:p w14:paraId="766A9A90" w14:textId="329CAB56"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The classification of </w:t>
            </w:r>
            <w:r w:rsidRPr="00A72B35">
              <w:rPr>
                <w:rFonts w:ascii="Arial" w:hAnsi="Arial" w:cs="Arial"/>
                <w:bCs/>
                <w:sz w:val="20"/>
                <w:szCs w:val="20"/>
                <w:lang w:val="en"/>
              </w:rPr>
              <w:t>indicators should be accurate.</w:t>
            </w:r>
          </w:p>
        </w:tc>
        <w:tc>
          <w:tcPr>
            <w:tcW w:w="6237" w:type="dxa"/>
            <w:shd w:val="clear" w:color="auto" w:fill="auto"/>
          </w:tcPr>
          <w:p w14:paraId="72B8810B" w14:textId="3F65DFFA"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lang w:val="en"/>
              </w:rPr>
              <w:t xml:space="preserve">1. Sports-related indicators are recommended to </w:t>
            </w:r>
            <w:r w:rsidR="005F375C">
              <w:rPr>
                <w:rFonts w:ascii="Arial" w:hAnsi="Arial" w:cs="Arial" w:hint="eastAsia"/>
                <w:bCs/>
                <w:sz w:val="20"/>
                <w:szCs w:val="20"/>
                <w:lang w:val="en"/>
              </w:rPr>
              <w:t>be</w:t>
            </w:r>
            <w:r w:rsidR="005F375C">
              <w:rPr>
                <w:rFonts w:ascii="Arial" w:hAnsi="Arial" w:cs="Arial"/>
                <w:bCs/>
                <w:sz w:val="20"/>
                <w:szCs w:val="20"/>
                <w:lang w:val="en"/>
              </w:rPr>
              <w:t xml:space="preserve"> included in just </w:t>
            </w:r>
            <w:r w:rsidRPr="00A72B35">
              <w:rPr>
                <w:rFonts w:ascii="Arial" w:hAnsi="Arial" w:cs="Arial"/>
                <w:bCs/>
                <w:sz w:val="20"/>
                <w:szCs w:val="20"/>
                <w:lang w:val="en"/>
              </w:rPr>
              <w:t>one category.</w:t>
            </w:r>
          </w:p>
        </w:tc>
      </w:tr>
      <w:tr w:rsidR="00551F05" w:rsidRPr="00A72B35" w14:paraId="0A9ADCD4" w14:textId="77777777" w:rsidTr="00A97F2F">
        <w:tc>
          <w:tcPr>
            <w:tcW w:w="3544" w:type="dxa"/>
            <w:shd w:val="clear" w:color="auto" w:fill="auto"/>
          </w:tcPr>
          <w:p w14:paraId="22732C50" w14:textId="77777777" w:rsidR="00551F05" w:rsidRPr="00A72B35" w:rsidRDefault="00551F05" w:rsidP="00861B37">
            <w:pPr>
              <w:spacing w:line="480" w:lineRule="auto"/>
              <w:rPr>
                <w:rFonts w:ascii="Arial" w:hAnsi="Arial" w:cs="Arial"/>
                <w:bCs/>
                <w:sz w:val="20"/>
                <w:szCs w:val="20"/>
              </w:rPr>
            </w:pPr>
          </w:p>
        </w:tc>
        <w:tc>
          <w:tcPr>
            <w:tcW w:w="6237" w:type="dxa"/>
            <w:shd w:val="clear" w:color="auto" w:fill="auto"/>
          </w:tcPr>
          <w:p w14:paraId="3777D107" w14:textId="77777777"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2. AIDS management belongs to health service rather than healthy people.</w:t>
            </w:r>
          </w:p>
        </w:tc>
      </w:tr>
      <w:tr w:rsidR="00551F05" w:rsidRPr="00A72B35" w14:paraId="71AD6623" w14:textId="77777777" w:rsidTr="00A97F2F">
        <w:tc>
          <w:tcPr>
            <w:tcW w:w="3544" w:type="dxa"/>
            <w:shd w:val="clear" w:color="auto" w:fill="auto"/>
          </w:tcPr>
          <w:p w14:paraId="721657FA" w14:textId="77777777" w:rsidR="00551F05" w:rsidRPr="00A72B35" w:rsidRDefault="00551F05" w:rsidP="00861B37">
            <w:pPr>
              <w:spacing w:line="480" w:lineRule="auto"/>
              <w:rPr>
                <w:rFonts w:ascii="Arial" w:hAnsi="Arial" w:cs="Arial"/>
                <w:bCs/>
                <w:sz w:val="20"/>
                <w:szCs w:val="20"/>
              </w:rPr>
            </w:pPr>
          </w:p>
        </w:tc>
        <w:tc>
          <w:tcPr>
            <w:tcW w:w="6237" w:type="dxa"/>
            <w:shd w:val="clear" w:color="auto" w:fill="auto"/>
          </w:tcPr>
          <w:p w14:paraId="5E39FD0B" w14:textId="424E5C93"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 xml:space="preserve">3. </w:t>
            </w:r>
            <w:r w:rsidRPr="00A72B35">
              <w:rPr>
                <w:rFonts w:ascii="Arial" w:hAnsi="Arial" w:cs="Arial"/>
                <w:bCs/>
                <w:sz w:val="20"/>
                <w:szCs w:val="20"/>
              </w:rPr>
              <w:t xml:space="preserve">The classifications of second-level indicators of health services are scattered, </w:t>
            </w:r>
            <w:r w:rsidR="005F375C">
              <w:rPr>
                <w:rFonts w:ascii="Arial" w:hAnsi="Arial" w:cs="Arial"/>
                <w:bCs/>
                <w:sz w:val="20"/>
                <w:szCs w:val="20"/>
              </w:rPr>
              <w:t>certain</w:t>
            </w:r>
            <w:r w:rsidR="005F375C" w:rsidRPr="00A72B35">
              <w:rPr>
                <w:rFonts w:ascii="Arial" w:hAnsi="Arial" w:cs="Arial"/>
                <w:bCs/>
                <w:sz w:val="20"/>
                <w:szCs w:val="20"/>
              </w:rPr>
              <w:t xml:space="preserve"> </w:t>
            </w:r>
            <w:r w:rsidRPr="00A72B35">
              <w:rPr>
                <w:rFonts w:ascii="Arial" w:hAnsi="Arial" w:cs="Arial"/>
                <w:bCs/>
                <w:sz w:val="20"/>
                <w:szCs w:val="20"/>
              </w:rPr>
              <w:t>classifications could merge together.</w:t>
            </w:r>
          </w:p>
        </w:tc>
      </w:tr>
      <w:tr w:rsidR="00551F05" w:rsidRPr="00A72B35" w14:paraId="0223F03A" w14:textId="77777777" w:rsidTr="00A97F2F">
        <w:tc>
          <w:tcPr>
            <w:tcW w:w="3544" w:type="dxa"/>
            <w:shd w:val="clear" w:color="auto" w:fill="auto"/>
          </w:tcPr>
          <w:p w14:paraId="24343012"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lang w:val="en"/>
              </w:rPr>
              <w:t>Use objective indicators mostly.</w:t>
            </w:r>
          </w:p>
        </w:tc>
        <w:tc>
          <w:tcPr>
            <w:tcW w:w="6237" w:type="dxa"/>
            <w:shd w:val="clear" w:color="auto" w:fill="auto"/>
          </w:tcPr>
          <w:p w14:paraId="0124F6FD" w14:textId="33EA3A8E"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lang w:val="en"/>
              </w:rPr>
              <w:t xml:space="preserve">1. </w:t>
            </w:r>
            <w:r w:rsidR="005F375C">
              <w:rPr>
                <w:rFonts w:ascii="Arial" w:hAnsi="Arial" w:cs="Arial"/>
                <w:bCs/>
                <w:sz w:val="20"/>
                <w:szCs w:val="20"/>
                <w:lang w:val="en"/>
              </w:rPr>
              <w:t>The n</w:t>
            </w:r>
            <w:r w:rsidRPr="00A72B35">
              <w:rPr>
                <w:rFonts w:ascii="Arial" w:hAnsi="Arial" w:cs="Arial"/>
                <w:bCs/>
                <w:sz w:val="20"/>
                <w:szCs w:val="20"/>
                <w:lang w:val="en"/>
              </w:rPr>
              <w:t xml:space="preserve">umber of psychiatric practitioners (assistant physicians) per 100,000 people is more objective than the management </w:t>
            </w:r>
            <w:r w:rsidRPr="00A72B35">
              <w:rPr>
                <w:rFonts w:ascii="Arial" w:hAnsi="Arial" w:cs="Arial"/>
                <w:bCs/>
                <w:sz w:val="20"/>
                <w:szCs w:val="20"/>
              </w:rPr>
              <w:t xml:space="preserve">rate of patients with severe mental disorders, </w:t>
            </w:r>
            <w:r w:rsidR="005F375C">
              <w:rPr>
                <w:rFonts w:ascii="Arial" w:hAnsi="Arial" w:cs="Arial"/>
                <w:bCs/>
                <w:sz w:val="20"/>
                <w:szCs w:val="20"/>
              </w:rPr>
              <w:t xml:space="preserve">selecting </w:t>
            </w:r>
            <w:r w:rsidRPr="00A72B35">
              <w:rPr>
                <w:rFonts w:ascii="Arial" w:hAnsi="Arial" w:cs="Arial"/>
                <w:bCs/>
                <w:sz w:val="20"/>
                <w:szCs w:val="20"/>
              </w:rPr>
              <w:t>the former</w:t>
            </w:r>
            <w:r w:rsidR="005F375C">
              <w:rPr>
                <w:rFonts w:ascii="Arial" w:hAnsi="Arial" w:cs="Arial"/>
                <w:bCs/>
                <w:sz w:val="20"/>
                <w:szCs w:val="20"/>
              </w:rPr>
              <w:t xml:space="preserve"> is better</w:t>
            </w:r>
            <w:r w:rsidRPr="00A72B35">
              <w:rPr>
                <w:rFonts w:ascii="Arial" w:hAnsi="Arial" w:cs="Arial"/>
                <w:bCs/>
                <w:sz w:val="20"/>
                <w:szCs w:val="20"/>
              </w:rPr>
              <w:t>.</w:t>
            </w:r>
          </w:p>
        </w:tc>
      </w:tr>
      <w:tr w:rsidR="00551F05" w:rsidRPr="00A72B35" w14:paraId="6A2DF381" w14:textId="77777777" w:rsidTr="00A97F2F">
        <w:tc>
          <w:tcPr>
            <w:tcW w:w="3544" w:type="dxa"/>
            <w:shd w:val="clear" w:color="auto" w:fill="auto"/>
          </w:tcPr>
          <w:p w14:paraId="37C389E9" w14:textId="77777777" w:rsidR="00551F05" w:rsidRPr="00A72B35" w:rsidRDefault="00551F05" w:rsidP="00861B37">
            <w:pPr>
              <w:spacing w:line="480" w:lineRule="auto"/>
              <w:rPr>
                <w:rFonts w:ascii="Arial" w:hAnsi="Arial" w:cs="Arial"/>
                <w:bCs/>
                <w:sz w:val="20"/>
                <w:szCs w:val="20"/>
                <w:lang w:val="en"/>
              </w:rPr>
            </w:pPr>
          </w:p>
        </w:tc>
        <w:tc>
          <w:tcPr>
            <w:tcW w:w="6237" w:type="dxa"/>
            <w:shd w:val="clear" w:color="auto" w:fill="auto"/>
          </w:tcPr>
          <w:p w14:paraId="638E6E65" w14:textId="7C53B794"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2. Management number of hypertension/diabetes patients is less objective relative to the standardized management rate of hypertension/diabetes patients</w:t>
            </w:r>
            <w:r w:rsidR="005F375C">
              <w:rPr>
                <w:rFonts w:ascii="Arial" w:hAnsi="Arial" w:cs="Arial"/>
                <w:bCs/>
                <w:sz w:val="20"/>
                <w:szCs w:val="20"/>
                <w:lang w:val="en"/>
              </w:rPr>
              <w:t>;</w:t>
            </w:r>
            <w:r w:rsidRPr="00A72B35">
              <w:rPr>
                <w:rFonts w:ascii="Arial" w:hAnsi="Arial" w:cs="Arial"/>
                <w:bCs/>
                <w:sz w:val="20"/>
                <w:szCs w:val="20"/>
                <w:lang w:val="en"/>
              </w:rPr>
              <w:t xml:space="preserve"> </w:t>
            </w:r>
            <w:r w:rsidR="005F375C">
              <w:rPr>
                <w:rFonts w:ascii="Arial" w:hAnsi="Arial" w:cs="Arial"/>
                <w:bCs/>
                <w:sz w:val="20"/>
                <w:szCs w:val="20"/>
                <w:lang w:val="en"/>
              </w:rPr>
              <w:t>t</w:t>
            </w:r>
            <w:r w:rsidRPr="00A72B35">
              <w:rPr>
                <w:rFonts w:ascii="Arial" w:hAnsi="Arial" w:cs="Arial"/>
                <w:bCs/>
                <w:sz w:val="20"/>
                <w:szCs w:val="20"/>
                <w:lang w:val="en"/>
              </w:rPr>
              <w:t>he latter is better for assessing chronic disease management.</w:t>
            </w:r>
          </w:p>
        </w:tc>
      </w:tr>
      <w:tr w:rsidR="00551F05" w:rsidRPr="00A72B35" w14:paraId="3F854B0B" w14:textId="77777777" w:rsidTr="00A97F2F">
        <w:tc>
          <w:tcPr>
            <w:tcW w:w="3544" w:type="dxa"/>
            <w:shd w:val="clear" w:color="auto" w:fill="auto"/>
          </w:tcPr>
          <w:p w14:paraId="7FE37B65" w14:textId="77777777" w:rsidR="00551F05" w:rsidRPr="00A72B35" w:rsidRDefault="00551F05" w:rsidP="00861B37">
            <w:pPr>
              <w:spacing w:line="480" w:lineRule="auto"/>
              <w:rPr>
                <w:rFonts w:ascii="Arial" w:hAnsi="Arial" w:cs="Arial"/>
                <w:bCs/>
                <w:sz w:val="20"/>
                <w:szCs w:val="20"/>
                <w:lang w:val="en"/>
              </w:rPr>
            </w:pPr>
          </w:p>
        </w:tc>
        <w:tc>
          <w:tcPr>
            <w:tcW w:w="6237" w:type="dxa"/>
            <w:shd w:val="clear" w:color="auto" w:fill="auto"/>
          </w:tcPr>
          <w:p w14:paraId="5501C23C" w14:textId="3FFA72FD"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 xml:space="preserve">3. </w:t>
            </w:r>
            <w:r w:rsidR="005F375C">
              <w:rPr>
                <w:rFonts w:ascii="Arial" w:hAnsi="Arial" w:cs="Arial"/>
                <w:bCs/>
                <w:sz w:val="20"/>
                <w:szCs w:val="20"/>
                <w:lang w:val="en"/>
              </w:rPr>
              <w:t>Certain</w:t>
            </w:r>
            <w:r w:rsidR="005F375C" w:rsidRPr="00A72B35">
              <w:rPr>
                <w:rFonts w:ascii="Arial" w:hAnsi="Arial" w:cs="Arial"/>
                <w:bCs/>
                <w:sz w:val="20"/>
                <w:szCs w:val="20"/>
                <w:lang w:val="en"/>
              </w:rPr>
              <w:t xml:space="preserve"> </w:t>
            </w:r>
            <w:r w:rsidRPr="00A72B35">
              <w:rPr>
                <w:rFonts w:ascii="Arial" w:hAnsi="Arial" w:cs="Arial"/>
                <w:bCs/>
                <w:sz w:val="20"/>
                <w:szCs w:val="20"/>
                <w:lang w:val="en"/>
              </w:rPr>
              <w:t xml:space="preserve">subjective indicators are not recommended: </w:t>
            </w:r>
            <w:r w:rsidRPr="00A72B35">
              <w:rPr>
                <w:rFonts w:ascii="Arial" w:hAnsi="Arial" w:cs="Arial"/>
                <w:bCs/>
                <w:sz w:val="20"/>
                <w:szCs w:val="20"/>
              </w:rPr>
              <w:t>Community construction 15</w:t>
            </w:r>
            <w:r w:rsidR="005F375C">
              <w:rPr>
                <w:rFonts w:ascii="Arial" w:hAnsi="Arial" w:cs="Arial"/>
                <w:bCs/>
                <w:sz w:val="20"/>
                <w:szCs w:val="20"/>
              </w:rPr>
              <w:t>-</w:t>
            </w:r>
            <w:r w:rsidRPr="00A72B35">
              <w:rPr>
                <w:rFonts w:ascii="Arial" w:hAnsi="Arial" w:cs="Arial"/>
                <w:bCs/>
                <w:sz w:val="20"/>
                <w:szCs w:val="20"/>
              </w:rPr>
              <w:t>min fitness circle, institutions, enterprises</w:t>
            </w:r>
            <w:r w:rsidR="00A805FA">
              <w:rPr>
                <w:rFonts w:ascii="Arial" w:hAnsi="Arial" w:cs="Arial"/>
                <w:bCs/>
                <w:sz w:val="20"/>
                <w:szCs w:val="20"/>
              </w:rPr>
              <w:t>,</w:t>
            </w:r>
            <w:r w:rsidRPr="00A72B35">
              <w:rPr>
                <w:rFonts w:ascii="Arial" w:hAnsi="Arial" w:cs="Arial"/>
                <w:bCs/>
                <w:sz w:val="20"/>
                <w:szCs w:val="20"/>
              </w:rPr>
              <w:t xml:space="preserve"> and institutions to carry out workplace fitness activities, organize fitness and competition activities in line with the characteristics of the unit.</w:t>
            </w:r>
          </w:p>
        </w:tc>
      </w:tr>
      <w:tr w:rsidR="00551F05" w:rsidRPr="00A72B35" w14:paraId="06AC9A05" w14:textId="77777777" w:rsidTr="00A97F2F">
        <w:tc>
          <w:tcPr>
            <w:tcW w:w="3544" w:type="dxa"/>
            <w:shd w:val="clear" w:color="auto" w:fill="auto"/>
          </w:tcPr>
          <w:p w14:paraId="779CB744" w14:textId="77777777" w:rsidR="00551F05" w:rsidRPr="00A72B35" w:rsidRDefault="00551F05" w:rsidP="00861B37">
            <w:pPr>
              <w:spacing w:line="480" w:lineRule="auto"/>
              <w:rPr>
                <w:rFonts w:ascii="Arial" w:hAnsi="Arial" w:cs="Arial"/>
                <w:bCs/>
                <w:sz w:val="20"/>
                <w:szCs w:val="20"/>
                <w:lang w:val="en"/>
              </w:rPr>
            </w:pPr>
          </w:p>
        </w:tc>
        <w:tc>
          <w:tcPr>
            <w:tcW w:w="6237" w:type="dxa"/>
            <w:shd w:val="clear" w:color="auto" w:fill="auto"/>
          </w:tcPr>
          <w:p w14:paraId="522F967A" w14:textId="23043D41"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 xml:space="preserve">4. Is it more objective </w:t>
            </w:r>
            <w:r w:rsidR="00A805FA">
              <w:rPr>
                <w:rFonts w:ascii="Arial" w:hAnsi="Arial" w:cs="Arial"/>
                <w:bCs/>
                <w:sz w:val="20"/>
                <w:szCs w:val="20"/>
                <w:lang w:val="en"/>
              </w:rPr>
              <w:t xml:space="preserve">to evaluate the smoking situation through </w:t>
            </w:r>
            <w:r w:rsidRPr="00A72B35">
              <w:rPr>
                <w:rFonts w:ascii="Arial" w:hAnsi="Arial" w:cs="Arial"/>
                <w:bCs/>
                <w:sz w:val="20"/>
                <w:szCs w:val="20"/>
                <w:lang w:val="en"/>
              </w:rPr>
              <w:t>the tobacco sale</w:t>
            </w:r>
            <w:r w:rsidR="00A805FA">
              <w:rPr>
                <w:rFonts w:ascii="Arial" w:hAnsi="Arial" w:cs="Arial"/>
                <w:bCs/>
                <w:sz w:val="20"/>
                <w:szCs w:val="20"/>
                <w:lang w:val="en"/>
              </w:rPr>
              <w:t xml:space="preserve"> volume</w:t>
            </w:r>
            <w:r w:rsidRPr="00A72B35">
              <w:rPr>
                <w:rFonts w:ascii="Arial" w:hAnsi="Arial" w:cs="Arial"/>
                <w:bCs/>
                <w:sz w:val="20"/>
                <w:szCs w:val="20"/>
                <w:lang w:val="en"/>
              </w:rPr>
              <w:t xml:space="preserve"> than </w:t>
            </w:r>
            <w:r w:rsidR="00A805FA">
              <w:rPr>
                <w:rFonts w:ascii="Arial" w:hAnsi="Arial" w:cs="Arial"/>
                <w:bCs/>
                <w:sz w:val="20"/>
                <w:szCs w:val="20"/>
                <w:lang w:val="en"/>
              </w:rPr>
              <w:t xml:space="preserve">the </w:t>
            </w:r>
            <w:r w:rsidRPr="00A72B35">
              <w:rPr>
                <w:rFonts w:ascii="Arial" w:hAnsi="Arial" w:cs="Arial"/>
                <w:bCs/>
                <w:sz w:val="20"/>
                <w:szCs w:val="20"/>
                <w:lang w:val="en"/>
              </w:rPr>
              <w:t xml:space="preserve">smoking rate? </w:t>
            </w:r>
          </w:p>
        </w:tc>
      </w:tr>
      <w:tr w:rsidR="00551F05" w:rsidRPr="00A72B35" w14:paraId="3405B3C6" w14:textId="77777777" w:rsidTr="00A97F2F">
        <w:tc>
          <w:tcPr>
            <w:tcW w:w="3544" w:type="dxa"/>
            <w:shd w:val="clear" w:color="auto" w:fill="auto"/>
          </w:tcPr>
          <w:p w14:paraId="269D612C" w14:textId="77777777"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Deletion of indicators</w:t>
            </w:r>
          </w:p>
        </w:tc>
        <w:tc>
          <w:tcPr>
            <w:tcW w:w="6237" w:type="dxa"/>
            <w:shd w:val="clear" w:color="auto" w:fill="auto"/>
          </w:tcPr>
          <w:p w14:paraId="7EA5A707" w14:textId="5A2E7F1C"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 xml:space="preserve">1. </w:t>
            </w:r>
            <w:r w:rsidR="00A805FA">
              <w:rPr>
                <w:rFonts w:ascii="Arial" w:hAnsi="Arial" w:cs="Arial"/>
                <w:bCs/>
                <w:sz w:val="20"/>
                <w:szCs w:val="20"/>
                <w:lang w:val="en"/>
              </w:rPr>
              <w:t>T</w:t>
            </w:r>
            <w:r w:rsidRPr="00A72B35">
              <w:rPr>
                <w:rFonts w:ascii="Arial" w:hAnsi="Arial" w:cs="Arial"/>
                <w:bCs/>
                <w:sz w:val="20"/>
                <w:szCs w:val="20"/>
                <w:lang w:val="en"/>
              </w:rPr>
              <w:t xml:space="preserve">he health certificate is issued only after </w:t>
            </w:r>
            <w:r w:rsidR="00A805FA">
              <w:rPr>
                <w:rFonts w:ascii="Arial" w:hAnsi="Arial" w:cs="Arial"/>
                <w:bCs/>
                <w:sz w:val="20"/>
                <w:szCs w:val="20"/>
                <w:lang w:val="en"/>
              </w:rPr>
              <w:t xml:space="preserve">one passes </w:t>
            </w:r>
            <w:r w:rsidRPr="00A72B35">
              <w:rPr>
                <w:rFonts w:ascii="Arial" w:hAnsi="Arial" w:cs="Arial"/>
                <w:bCs/>
                <w:sz w:val="20"/>
                <w:szCs w:val="20"/>
                <w:lang w:val="en"/>
              </w:rPr>
              <w:t>the medical examination</w:t>
            </w:r>
            <w:r w:rsidR="00A805FA">
              <w:rPr>
                <w:rFonts w:ascii="Arial" w:hAnsi="Arial" w:cs="Arial"/>
                <w:bCs/>
                <w:sz w:val="20"/>
                <w:szCs w:val="20"/>
                <w:lang w:val="en"/>
              </w:rPr>
              <w:t>.</w:t>
            </w:r>
            <w:r w:rsidRPr="00A72B35">
              <w:rPr>
                <w:rFonts w:ascii="Arial" w:hAnsi="Arial" w:cs="Arial"/>
                <w:bCs/>
                <w:sz w:val="20"/>
                <w:szCs w:val="20"/>
                <w:lang w:val="en"/>
              </w:rPr>
              <w:t xml:space="preserve"> </w:t>
            </w:r>
            <w:r w:rsidR="00A805FA">
              <w:rPr>
                <w:rFonts w:ascii="Arial" w:hAnsi="Arial" w:cs="Arial"/>
                <w:bCs/>
                <w:sz w:val="20"/>
                <w:szCs w:val="20"/>
                <w:lang w:val="en"/>
              </w:rPr>
              <w:t xml:space="preserve">Hence, </w:t>
            </w:r>
            <w:r w:rsidRPr="00A72B35">
              <w:rPr>
                <w:rFonts w:ascii="Arial" w:hAnsi="Arial" w:cs="Arial"/>
                <w:bCs/>
                <w:sz w:val="20"/>
                <w:szCs w:val="20"/>
                <w:lang w:val="en"/>
              </w:rPr>
              <w:t>choos</w:t>
            </w:r>
            <w:r w:rsidR="00A805FA">
              <w:rPr>
                <w:rFonts w:ascii="Arial" w:hAnsi="Arial" w:cs="Arial"/>
                <w:bCs/>
                <w:sz w:val="20"/>
                <w:szCs w:val="20"/>
                <w:lang w:val="en"/>
              </w:rPr>
              <w:t>ing the</w:t>
            </w:r>
            <w:r w:rsidRPr="00A72B35">
              <w:rPr>
                <w:rFonts w:ascii="Arial" w:hAnsi="Arial" w:cs="Arial"/>
                <w:bCs/>
                <w:sz w:val="20"/>
                <w:szCs w:val="20"/>
                <w:lang w:val="en"/>
              </w:rPr>
              <w:t xml:space="preserve"> coverage rate of the health certificate </w:t>
            </w:r>
            <w:r w:rsidR="00A805FA">
              <w:rPr>
                <w:rFonts w:ascii="Arial" w:hAnsi="Arial" w:cs="Arial"/>
                <w:bCs/>
                <w:sz w:val="20"/>
                <w:szCs w:val="20"/>
                <w:lang w:val="en"/>
              </w:rPr>
              <w:t xml:space="preserve">is better </w:t>
            </w:r>
            <w:r w:rsidRPr="00A72B35">
              <w:rPr>
                <w:rFonts w:ascii="Arial" w:hAnsi="Arial" w:cs="Arial"/>
                <w:bCs/>
                <w:sz w:val="20"/>
                <w:szCs w:val="20"/>
                <w:lang w:val="en"/>
              </w:rPr>
              <w:t xml:space="preserve">than </w:t>
            </w:r>
            <w:r w:rsidR="00A805FA">
              <w:rPr>
                <w:rFonts w:ascii="Arial" w:hAnsi="Arial" w:cs="Arial"/>
                <w:bCs/>
                <w:sz w:val="20"/>
                <w:szCs w:val="20"/>
                <w:lang w:val="en"/>
              </w:rPr>
              <w:t xml:space="preserve">the </w:t>
            </w:r>
            <w:r w:rsidRPr="00A72B35">
              <w:rPr>
                <w:rFonts w:ascii="Arial" w:hAnsi="Arial" w:cs="Arial"/>
                <w:bCs/>
                <w:sz w:val="20"/>
                <w:szCs w:val="20"/>
                <w:lang w:val="en"/>
              </w:rPr>
              <w:t>compliance rate of the physical examination for the food and beverage practitioners.</w:t>
            </w:r>
          </w:p>
        </w:tc>
      </w:tr>
      <w:tr w:rsidR="00551F05" w:rsidRPr="00A72B35" w14:paraId="6604435D" w14:textId="77777777" w:rsidTr="00A97F2F">
        <w:tc>
          <w:tcPr>
            <w:tcW w:w="3544" w:type="dxa"/>
            <w:shd w:val="clear" w:color="auto" w:fill="auto"/>
          </w:tcPr>
          <w:p w14:paraId="59CE9310" w14:textId="77777777" w:rsidR="00551F05" w:rsidRPr="00A72B35" w:rsidRDefault="00551F05" w:rsidP="00861B37">
            <w:pPr>
              <w:spacing w:line="480" w:lineRule="auto"/>
              <w:rPr>
                <w:rFonts w:ascii="Arial" w:hAnsi="Arial" w:cs="Arial"/>
                <w:bCs/>
                <w:sz w:val="20"/>
                <w:szCs w:val="20"/>
                <w:lang w:val="en"/>
              </w:rPr>
            </w:pPr>
          </w:p>
        </w:tc>
        <w:tc>
          <w:tcPr>
            <w:tcW w:w="6237" w:type="dxa"/>
            <w:shd w:val="clear" w:color="auto" w:fill="auto"/>
          </w:tcPr>
          <w:p w14:paraId="64ECA85F" w14:textId="33253C20"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2. The use rate of antibiotics is a sampling indicator instead of a perennial monitoring indicator for hospital assessment</w:t>
            </w:r>
            <w:r w:rsidR="00A805FA">
              <w:rPr>
                <w:rFonts w:ascii="Arial" w:hAnsi="Arial" w:cs="Arial"/>
                <w:bCs/>
                <w:sz w:val="20"/>
                <w:szCs w:val="20"/>
                <w:lang w:val="en"/>
              </w:rPr>
              <w:t>; hence such a rate</w:t>
            </w:r>
            <w:r w:rsidRPr="00A72B35">
              <w:rPr>
                <w:rFonts w:ascii="Arial" w:hAnsi="Arial" w:cs="Arial"/>
                <w:bCs/>
                <w:sz w:val="20"/>
                <w:szCs w:val="20"/>
                <w:lang w:val="en"/>
              </w:rPr>
              <w:t xml:space="preserve"> may be </w:t>
            </w:r>
            <w:r w:rsidR="00A805FA">
              <w:rPr>
                <w:rFonts w:ascii="Arial" w:hAnsi="Arial" w:cs="Arial"/>
                <w:bCs/>
                <w:sz w:val="20"/>
                <w:szCs w:val="20"/>
                <w:lang w:val="en"/>
              </w:rPr>
              <w:t>ex</w:t>
            </w:r>
            <w:r w:rsidRPr="00A72B35">
              <w:rPr>
                <w:rFonts w:ascii="Arial" w:hAnsi="Arial" w:cs="Arial"/>
                <w:bCs/>
                <w:sz w:val="20"/>
                <w:szCs w:val="20"/>
                <w:lang w:val="en"/>
              </w:rPr>
              <w:t>cluded.</w:t>
            </w:r>
          </w:p>
        </w:tc>
      </w:tr>
      <w:tr w:rsidR="00551F05" w:rsidRPr="00A72B35" w14:paraId="2568E787" w14:textId="77777777" w:rsidTr="00A97F2F">
        <w:tc>
          <w:tcPr>
            <w:tcW w:w="3544" w:type="dxa"/>
            <w:shd w:val="clear" w:color="auto" w:fill="auto"/>
          </w:tcPr>
          <w:p w14:paraId="4C99347B" w14:textId="77777777" w:rsidR="00551F05" w:rsidRPr="00A72B35" w:rsidRDefault="00551F05" w:rsidP="00861B37">
            <w:pPr>
              <w:spacing w:line="480" w:lineRule="auto"/>
              <w:rPr>
                <w:rFonts w:ascii="Arial" w:hAnsi="Arial" w:cs="Arial"/>
                <w:bCs/>
                <w:sz w:val="20"/>
                <w:szCs w:val="20"/>
                <w:lang w:val="en"/>
              </w:rPr>
            </w:pPr>
          </w:p>
        </w:tc>
        <w:tc>
          <w:tcPr>
            <w:tcW w:w="6237" w:type="dxa"/>
            <w:shd w:val="clear" w:color="auto" w:fill="auto"/>
          </w:tcPr>
          <w:p w14:paraId="2C7F2987" w14:textId="2F134EE7"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 xml:space="preserve">3. Sports Bureau and Education Commission: For the sake of safety, </w:t>
            </w:r>
            <w:r w:rsidR="00A805FA">
              <w:rPr>
                <w:rFonts w:ascii="Arial" w:hAnsi="Arial" w:cs="Arial"/>
                <w:bCs/>
                <w:sz w:val="20"/>
                <w:szCs w:val="20"/>
                <w:lang w:val="en"/>
              </w:rPr>
              <w:t xml:space="preserve">the </w:t>
            </w:r>
            <w:r w:rsidRPr="00A72B35">
              <w:rPr>
                <w:rFonts w:ascii="Arial" w:hAnsi="Arial" w:cs="Arial"/>
                <w:bCs/>
                <w:sz w:val="20"/>
                <w:szCs w:val="20"/>
                <w:lang w:val="en"/>
              </w:rPr>
              <w:t>free</w:t>
            </w:r>
            <w:r w:rsidRPr="00A72B35">
              <w:rPr>
                <w:rFonts w:ascii="Arial" w:hAnsi="Arial" w:cs="Arial"/>
                <w:bCs/>
                <w:sz w:val="20"/>
                <w:szCs w:val="20"/>
              </w:rPr>
              <w:t xml:space="preserve"> or low-cost open rate of public sports venues, part</w:t>
            </w:r>
            <w:r w:rsidR="00E80F94">
              <w:rPr>
                <w:rFonts w:ascii="Arial" w:hAnsi="Arial" w:cs="Arial"/>
                <w:bCs/>
                <w:sz w:val="20"/>
                <w:szCs w:val="20"/>
              </w:rPr>
              <w:t>ial</w:t>
            </w:r>
            <w:r w:rsidRPr="00A72B35">
              <w:rPr>
                <w:rFonts w:ascii="Arial" w:hAnsi="Arial" w:cs="Arial"/>
                <w:bCs/>
                <w:sz w:val="20"/>
                <w:szCs w:val="20"/>
              </w:rPr>
              <w:t xml:space="preserve"> enterprises and school sports venues is not recommended</w:t>
            </w:r>
            <w:r w:rsidR="00E80F94">
              <w:rPr>
                <w:rFonts w:ascii="Arial" w:hAnsi="Arial" w:cs="Arial"/>
                <w:bCs/>
                <w:sz w:val="20"/>
                <w:szCs w:val="20"/>
              </w:rPr>
              <w:t xml:space="preserve"> to include</w:t>
            </w:r>
            <w:r w:rsidRPr="00A72B35">
              <w:rPr>
                <w:rFonts w:ascii="Arial" w:hAnsi="Arial" w:cs="Arial"/>
                <w:bCs/>
                <w:sz w:val="20"/>
                <w:szCs w:val="20"/>
              </w:rPr>
              <w:t>.</w:t>
            </w:r>
          </w:p>
        </w:tc>
      </w:tr>
      <w:tr w:rsidR="00551F05" w:rsidRPr="00A72B35" w14:paraId="79AFEB55" w14:textId="77777777" w:rsidTr="00A97F2F">
        <w:tc>
          <w:tcPr>
            <w:tcW w:w="3544" w:type="dxa"/>
            <w:shd w:val="clear" w:color="auto" w:fill="auto"/>
          </w:tcPr>
          <w:p w14:paraId="4486E475" w14:textId="77777777" w:rsidR="00551F05" w:rsidRPr="00A72B35" w:rsidRDefault="00551F05" w:rsidP="00861B37">
            <w:pPr>
              <w:spacing w:line="480" w:lineRule="auto"/>
              <w:rPr>
                <w:rFonts w:ascii="Arial" w:hAnsi="Arial" w:cs="Arial"/>
                <w:bCs/>
                <w:sz w:val="20"/>
                <w:szCs w:val="20"/>
                <w:lang w:val="en"/>
              </w:rPr>
            </w:pPr>
          </w:p>
        </w:tc>
        <w:tc>
          <w:tcPr>
            <w:tcW w:w="6237" w:type="dxa"/>
            <w:shd w:val="clear" w:color="auto" w:fill="auto"/>
          </w:tcPr>
          <w:p w14:paraId="05F7421C" w14:textId="3680737D"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 xml:space="preserve">4. Unnecessary indicators: </w:t>
            </w:r>
            <w:r w:rsidR="00E80F94">
              <w:rPr>
                <w:rFonts w:ascii="Arial" w:hAnsi="Arial" w:cs="Arial"/>
                <w:bCs/>
                <w:sz w:val="20"/>
                <w:szCs w:val="20"/>
                <w:lang w:val="en"/>
              </w:rPr>
              <w:t>The o</w:t>
            </w:r>
            <w:r w:rsidRPr="00A72B35">
              <w:rPr>
                <w:rFonts w:ascii="Arial" w:hAnsi="Arial" w:cs="Arial"/>
                <w:bCs/>
                <w:sz w:val="20"/>
                <w:szCs w:val="20"/>
                <w:lang w:val="en"/>
              </w:rPr>
              <w:t xml:space="preserve">verall rate of reporting tuberculosis patients and suspected tuberculosis patients, </w:t>
            </w:r>
            <w:r w:rsidR="00E80F94">
              <w:rPr>
                <w:rFonts w:ascii="Arial" w:hAnsi="Arial" w:cs="Arial"/>
                <w:bCs/>
                <w:sz w:val="20"/>
                <w:szCs w:val="20"/>
                <w:lang w:val="en"/>
              </w:rPr>
              <w:t xml:space="preserve">the </w:t>
            </w:r>
            <w:r w:rsidRPr="00A72B35">
              <w:rPr>
                <w:rFonts w:ascii="Arial" w:hAnsi="Arial" w:cs="Arial"/>
                <w:bCs/>
                <w:sz w:val="20"/>
                <w:szCs w:val="20"/>
                <w:lang w:val="en"/>
              </w:rPr>
              <w:t xml:space="preserve">ratio of education </w:t>
            </w:r>
            <w:r w:rsidRPr="00A72B35">
              <w:rPr>
                <w:rFonts w:ascii="Arial" w:hAnsi="Arial" w:cs="Arial"/>
                <w:bCs/>
                <w:sz w:val="20"/>
                <w:szCs w:val="20"/>
                <w:lang w:val="en"/>
              </w:rPr>
              <w:lastRenderedPageBreak/>
              <w:t xml:space="preserve">expenditure to GDP in local finance, successful treatment rate for tuberculosis patients, and </w:t>
            </w:r>
            <w:r w:rsidR="00E80F94">
              <w:rPr>
                <w:rFonts w:ascii="Arial" w:hAnsi="Arial" w:cs="Arial"/>
                <w:bCs/>
                <w:sz w:val="20"/>
                <w:szCs w:val="20"/>
                <w:lang w:val="en"/>
              </w:rPr>
              <w:t xml:space="preserve">the </w:t>
            </w:r>
            <w:r w:rsidRPr="00A72B35">
              <w:rPr>
                <w:rFonts w:ascii="Arial" w:hAnsi="Arial" w:cs="Arial"/>
                <w:bCs/>
                <w:sz w:val="20"/>
                <w:szCs w:val="20"/>
                <w:lang w:val="en"/>
              </w:rPr>
              <w:t>coverage rate of harmless sanitary toilets (rural).</w:t>
            </w:r>
          </w:p>
        </w:tc>
      </w:tr>
      <w:tr w:rsidR="00551F05" w:rsidRPr="00A72B35" w14:paraId="3DAEE94A" w14:textId="77777777" w:rsidTr="00A97F2F">
        <w:tc>
          <w:tcPr>
            <w:tcW w:w="3544" w:type="dxa"/>
            <w:shd w:val="clear" w:color="auto" w:fill="auto"/>
          </w:tcPr>
          <w:p w14:paraId="6CE420CD" w14:textId="77777777" w:rsidR="00551F05" w:rsidRPr="00A72B35" w:rsidRDefault="00551F05" w:rsidP="00861B37">
            <w:pPr>
              <w:spacing w:line="480" w:lineRule="auto"/>
              <w:rPr>
                <w:rFonts w:ascii="Arial" w:hAnsi="Arial" w:cs="Arial"/>
                <w:bCs/>
                <w:sz w:val="20"/>
                <w:szCs w:val="20"/>
                <w:lang w:val="en"/>
              </w:rPr>
            </w:pPr>
          </w:p>
        </w:tc>
        <w:tc>
          <w:tcPr>
            <w:tcW w:w="6237" w:type="dxa"/>
            <w:shd w:val="clear" w:color="auto" w:fill="auto"/>
          </w:tcPr>
          <w:p w14:paraId="06CB3B4F" w14:textId="10A8A95C" w:rsidR="00551F05" w:rsidRPr="00A72B35" w:rsidRDefault="00551F05" w:rsidP="00861B37">
            <w:pPr>
              <w:spacing w:line="480" w:lineRule="auto"/>
              <w:rPr>
                <w:rFonts w:ascii="Arial" w:hAnsi="Arial" w:cs="Arial"/>
                <w:bCs/>
                <w:sz w:val="20"/>
                <w:szCs w:val="20"/>
                <w:highlight w:val="yellow"/>
                <w:lang w:val="en"/>
              </w:rPr>
            </w:pPr>
            <w:r w:rsidRPr="00A72B35">
              <w:rPr>
                <w:rFonts w:ascii="Arial" w:hAnsi="Arial" w:cs="Arial"/>
                <w:bCs/>
                <w:sz w:val="20"/>
                <w:szCs w:val="20"/>
                <w:lang w:val="en"/>
              </w:rPr>
              <w:t xml:space="preserve">5. </w:t>
            </w:r>
            <w:r w:rsidR="00E80F94">
              <w:rPr>
                <w:rFonts w:ascii="Arial" w:hAnsi="Arial" w:cs="Arial"/>
                <w:bCs/>
                <w:sz w:val="20"/>
                <w:szCs w:val="20"/>
                <w:lang w:val="en"/>
              </w:rPr>
              <w:t>S</w:t>
            </w:r>
            <w:r w:rsidRPr="00A72B35">
              <w:rPr>
                <w:rFonts w:ascii="Arial" w:hAnsi="Arial" w:cs="Arial"/>
                <w:bCs/>
                <w:sz w:val="20"/>
                <w:szCs w:val="20"/>
                <w:lang w:val="en"/>
              </w:rPr>
              <w:t>elect</w:t>
            </w:r>
            <w:r w:rsidR="00E80F94">
              <w:rPr>
                <w:rFonts w:ascii="Arial" w:hAnsi="Arial" w:cs="Arial"/>
                <w:bCs/>
                <w:sz w:val="20"/>
                <w:szCs w:val="20"/>
                <w:lang w:val="en"/>
              </w:rPr>
              <w:t>ing</w:t>
            </w:r>
            <w:r w:rsidRPr="00A72B35">
              <w:rPr>
                <w:rFonts w:ascii="Arial" w:hAnsi="Arial" w:cs="Arial"/>
                <w:bCs/>
                <w:sz w:val="20"/>
                <w:szCs w:val="20"/>
                <w:lang w:val="en"/>
              </w:rPr>
              <w:t xml:space="preserve"> one of the water</w:t>
            </w:r>
            <w:r w:rsidR="00E80F94">
              <w:rPr>
                <w:rFonts w:ascii="Arial" w:hAnsi="Arial" w:cs="Arial"/>
                <w:bCs/>
                <w:sz w:val="20"/>
                <w:szCs w:val="20"/>
                <w:lang w:val="en"/>
              </w:rPr>
              <w:t>-</w:t>
            </w:r>
            <w:r w:rsidRPr="00A72B35">
              <w:rPr>
                <w:rFonts w:ascii="Arial" w:hAnsi="Arial" w:cs="Arial"/>
                <w:bCs/>
                <w:sz w:val="20"/>
                <w:szCs w:val="20"/>
                <w:lang w:val="en"/>
              </w:rPr>
              <w:t>quality compliance rates for centralized drinking in water source areas and the qualified rate of drinking water quality</w:t>
            </w:r>
            <w:r w:rsidR="00E80F94">
              <w:rPr>
                <w:rFonts w:ascii="Arial" w:hAnsi="Arial" w:cs="Arial"/>
                <w:bCs/>
                <w:sz w:val="20"/>
                <w:szCs w:val="20"/>
                <w:lang w:val="en"/>
              </w:rPr>
              <w:t xml:space="preserve"> is advised</w:t>
            </w:r>
            <w:r w:rsidRPr="00A72B35">
              <w:rPr>
                <w:rFonts w:ascii="Arial" w:hAnsi="Arial" w:cs="Arial"/>
                <w:bCs/>
                <w:sz w:val="20"/>
                <w:szCs w:val="20"/>
                <w:lang w:val="en"/>
              </w:rPr>
              <w:t>.</w:t>
            </w:r>
          </w:p>
        </w:tc>
      </w:tr>
      <w:tr w:rsidR="00551F05" w:rsidRPr="00A72B35" w14:paraId="7E27D690" w14:textId="77777777" w:rsidTr="00A97F2F">
        <w:tc>
          <w:tcPr>
            <w:tcW w:w="3544" w:type="dxa"/>
            <w:shd w:val="clear" w:color="auto" w:fill="auto"/>
          </w:tcPr>
          <w:p w14:paraId="7A38A06F" w14:textId="77777777" w:rsidR="00551F05" w:rsidRPr="00A72B35" w:rsidRDefault="00551F05" w:rsidP="00861B37">
            <w:pPr>
              <w:spacing w:line="480" w:lineRule="auto"/>
              <w:rPr>
                <w:rFonts w:ascii="Arial" w:hAnsi="Arial" w:cs="Arial"/>
                <w:bCs/>
                <w:sz w:val="20"/>
                <w:szCs w:val="20"/>
                <w:lang w:val="en"/>
              </w:rPr>
            </w:pPr>
            <w:r w:rsidRPr="00A72B35">
              <w:rPr>
                <w:rFonts w:ascii="Arial" w:hAnsi="Arial" w:cs="Arial"/>
                <w:bCs/>
                <w:sz w:val="20"/>
                <w:szCs w:val="20"/>
                <w:lang w:val="en"/>
              </w:rPr>
              <w:t>Other Suggestions</w:t>
            </w:r>
          </w:p>
        </w:tc>
        <w:tc>
          <w:tcPr>
            <w:tcW w:w="6237" w:type="dxa"/>
            <w:shd w:val="clear" w:color="auto" w:fill="auto"/>
          </w:tcPr>
          <w:p w14:paraId="696FB962" w14:textId="122E88D1" w:rsidR="00551F05" w:rsidRPr="00A72B35" w:rsidRDefault="00551F05" w:rsidP="00861B37">
            <w:pPr>
              <w:spacing w:line="480" w:lineRule="auto"/>
              <w:rPr>
                <w:rFonts w:ascii="Arial" w:hAnsi="Arial" w:cs="Arial"/>
                <w:bCs/>
                <w:sz w:val="20"/>
                <w:szCs w:val="20"/>
                <w:highlight w:val="yellow"/>
                <w:lang w:val="en"/>
              </w:rPr>
            </w:pPr>
            <w:r w:rsidRPr="00A72B35">
              <w:rPr>
                <w:rFonts w:ascii="Arial" w:hAnsi="Arial" w:cs="Arial"/>
                <w:bCs/>
                <w:sz w:val="20"/>
                <w:szCs w:val="20"/>
                <w:lang w:val="en"/>
              </w:rPr>
              <w:t xml:space="preserve">1. The total number of recommended indicators should not exceed 80. The departments </w:t>
            </w:r>
            <w:r w:rsidR="00E80F94">
              <w:rPr>
                <w:rFonts w:ascii="Arial" w:hAnsi="Arial" w:cs="Arial"/>
                <w:bCs/>
                <w:sz w:val="20"/>
                <w:szCs w:val="20"/>
                <w:lang w:val="en"/>
              </w:rPr>
              <w:t xml:space="preserve">may </w:t>
            </w:r>
            <w:r w:rsidRPr="00A72B35">
              <w:rPr>
                <w:rFonts w:ascii="Arial" w:hAnsi="Arial" w:cs="Arial"/>
                <w:bCs/>
                <w:sz w:val="20"/>
                <w:szCs w:val="20"/>
                <w:lang w:val="en"/>
              </w:rPr>
              <w:t xml:space="preserve">not </w:t>
            </w:r>
            <w:r w:rsidR="00E80F94">
              <w:rPr>
                <w:rFonts w:ascii="Arial" w:hAnsi="Arial" w:cs="Arial"/>
                <w:bCs/>
                <w:sz w:val="20"/>
                <w:szCs w:val="20"/>
                <w:lang w:val="en"/>
              </w:rPr>
              <w:t xml:space="preserve">be </w:t>
            </w:r>
            <w:r w:rsidRPr="00A72B35">
              <w:rPr>
                <w:rFonts w:ascii="Arial" w:hAnsi="Arial" w:cs="Arial"/>
                <w:bCs/>
                <w:sz w:val="20"/>
                <w:szCs w:val="20"/>
                <w:lang w:val="en"/>
              </w:rPr>
              <w:t>well</w:t>
            </w:r>
            <w:r w:rsidR="00E80F94">
              <w:rPr>
                <w:rFonts w:ascii="Arial" w:hAnsi="Arial" w:cs="Arial"/>
                <w:bCs/>
                <w:sz w:val="20"/>
                <w:szCs w:val="20"/>
                <w:lang w:val="en"/>
              </w:rPr>
              <w:t>-</w:t>
            </w:r>
            <w:r w:rsidRPr="00A72B35">
              <w:rPr>
                <w:rFonts w:ascii="Arial" w:hAnsi="Arial" w:cs="Arial"/>
                <w:bCs/>
                <w:sz w:val="20"/>
                <w:szCs w:val="20"/>
                <w:lang w:val="en"/>
              </w:rPr>
              <w:t>coordinated if the indicators are too miscellaneous.</w:t>
            </w:r>
          </w:p>
        </w:tc>
      </w:tr>
    </w:tbl>
    <w:p w14:paraId="5C846355" w14:textId="77777777" w:rsidR="00D22A74" w:rsidRPr="00A72B35" w:rsidRDefault="00D22A74" w:rsidP="00861B37">
      <w:pPr>
        <w:spacing w:line="480" w:lineRule="auto"/>
        <w:rPr>
          <w:rFonts w:ascii="Arial" w:hAnsi="Arial" w:cs="Arial"/>
          <w:b/>
          <w:sz w:val="20"/>
          <w:szCs w:val="20"/>
        </w:rPr>
      </w:pPr>
    </w:p>
    <w:p w14:paraId="759E1ECA" w14:textId="646A4921"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Appendix </w:t>
      </w:r>
      <w:r w:rsidRPr="00A72B35">
        <w:rPr>
          <w:rFonts w:ascii="Arial" w:eastAsia="宋体" w:hAnsi="Arial" w:cs="Arial"/>
          <w:b/>
          <w:sz w:val="20"/>
          <w:szCs w:val="20"/>
        </w:rPr>
        <w:t>C</w:t>
      </w:r>
    </w:p>
    <w:p w14:paraId="4E102285" w14:textId="77777777" w:rsidR="00551F05" w:rsidRPr="00A72B35" w:rsidRDefault="00551F05" w:rsidP="00861B37">
      <w:pPr>
        <w:spacing w:line="480" w:lineRule="auto"/>
        <w:rPr>
          <w:rFonts w:ascii="Arial" w:hAnsi="Arial" w:cs="Arial"/>
          <w:b/>
          <w:bCs/>
          <w:sz w:val="20"/>
          <w:szCs w:val="20"/>
        </w:rPr>
      </w:pPr>
      <w:r w:rsidRPr="00A72B35">
        <w:rPr>
          <w:rFonts w:ascii="Arial" w:hAnsi="Arial" w:cs="Arial"/>
          <w:b/>
          <w:bCs/>
          <w:sz w:val="20"/>
          <w:szCs w:val="20"/>
        </w:rPr>
        <w:t>Advice from interviewees of in-depth interviews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945"/>
      </w:tblGrid>
      <w:tr w:rsidR="00551F05" w:rsidRPr="00A72B35" w14:paraId="40A830C7" w14:textId="77777777" w:rsidTr="00A97F2F">
        <w:tc>
          <w:tcPr>
            <w:tcW w:w="3403" w:type="dxa"/>
            <w:shd w:val="clear" w:color="auto" w:fill="auto"/>
          </w:tcPr>
          <w:p w14:paraId="5C091AF6"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Key points </w:t>
            </w:r>
          </w:p>
        </w:tc>
        <w:tc>
          <w:tcPr>
            <w:tcW w:w="6945" w:type="dxa"/>
            <w:shd w:val="clear" w:color="auto" w:fill="auto"/>
          </w:tcPr>
          <w:p w14:paraId="645C369E" w14:textId="77777777" w:rsidR="00551F05" w:rsidRPr="00A72B35" w:rsidRDefault="00551F05" w:rsidP="00861B37">
            <w:pPr>
              <w:spacing w:line="480" w:lineRule="auto"/>
              <w:rPr>
                <w:rFonts w:ascii="Arial" w:hAnsi="Arial" w:cs="Arial"/>
                <w:bCs/>
                <w:sz w:val="20"/>
                <w:szCs w:val="20"/>
              </w:rPr>
            </w:pPr>
            <w:r w:rsidRPr="00A72B35">
              <w:rPr>
                <w:rFonts w:ascii="Arial" w:hAnsi="Arial" w:cs="Arial"/>
                <w:b/>
                <w:sz w:val="20"/>
                <w:szCs w:val="20"/>
              </w:rPr>
              <w:t>Detailed suggestions and opinions</w:t>
            </w:r>
          </w:p>
        </w:tc>
      </w:tr>
      <w:tr w:rsidR="00551F05" w:rsidRPr="00A72B35" w14:paraId="7FBCDD04" w14:textId="77777777" w:rsidTr="00A97F2F">
        <w:tc>
          <w:tcPr>
            <w:tcW w:w="3403" w:type="dxa"/>
            <w:shd w:val="clear" w:color="auto" w:fill="auto"/>
          </w:tcPr>
          <w:p w14:paraId="0F6412EB"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Deletion of indicators</w:t>
            </w:r>
          </w:p>
        </w:tc>
        <w:tc>
          <w:tcPr>
            <w:tcW w:w="6945" w:type="dxa"/>
            <w:shd w:val="clear" w:color="auto" w:fill="auto"/>
          </w:tcPr>
          <w:p w14:paraId="0D3685EF" w14:textId="1C92110A"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1. </w:t>
            </w:r>
            <w:r w:rsidR="00E80F94">
              <w:rPr>
                <w:rFonts w:ascii="Arial" w:hAnsi="Arial" w:cs="Arial"/>
                <w:bCs/>
                <w:sz w:val="20"/>
                <w:szCs w:val="20"/>
              </w:rPr>
              <w:t>N</w:t>
            </w:r>
            <w:r w:rsidRPr="00A72B35">
              <w:rPr>
                <w:rFonts w:ascii="Arial" w:hAnsi="Arial" w:cs="Arial"/>
                <w:bCs/>
                <w:sz w:val="20"/>
                <w:szCs w:val="20"/>
              </w:rPr>
              <w:t xml:space="preserve">o statistical data in practical work: </w:t>
            </w:r>
            <w:r w:rsidR="00E80F94">
              <w:rPr>
                <w:rFonts w:ascii="Arial" w:hAnsi="Arial" w:cs="Arial"/>
                <w:bCs/>
                <w:sz w:val="20"/>
                <w:szCs w:val="20"/>
              </w:rPr>
              <w:t xml:space="preserve">the </w:t>
            </w:r>
            <w:r w:rsidRPr="00A72B35">
              <w:rPr>
                <w:rFonts w:ascii="Arial" w:hAnsi="Arial" w:cs="Arial"/>
                <w:bCs/>
                <w:sz w:val="20"/>
                <w:szCs w:val="20"/>
              </w:rPr>
              <w:t>development rate of students’ health behavior, utilization rate of community health service</w:t>
            </w:r>
            <w:r w:rsidR="00E80F94">
              <w:rPr>
                <w:rFonts w:ascii="Arial" w:hAnsi="Arial" w:cs="Arial"/>
                <w:bCs/>
                <w:sz w:val="20"/>
                <w:szCs w:val="20"/>
              </w:rPr>
              <w:t>s</w:t>
            </w:r>
            <w:r w:rsidRPr="00A72B35">
              <w:rPr>
                <w:rFonts w:ascii="Arial" w:hAnsi="Arial" w:cs="Arial"/>
                <w:bCs/>
                <w:sz w:val="20"/>
                <w:szCs w:val="20"/>
              </w:rPr>
              <w:t>, pesticide residues, residues of veterinary drug</w:t>
            </w:r>
            <w:r w:rsidR="00E80F94">
              <w:rPr>
                <w:rFonts w:ascii="Arial" w:hAnsi="Arial" w:cs="Arial"/>
                <w:bCs/>
                <w:sz w:val="20"/>
                <w:szCs w:val="20"/>
              </w:rPr>
              <w:t>s</w:t>
            </w:r>
            <w:r w:rsidRPr="00A72B35">
              <w:rPr>
                <w:rFonts w:ascii="Arial" w:hAnsi="Arial" w:cs="Arial"/>
                <w:bCs/>
                <w:sz w:val="20"/>
                <w:szCs w:val="20"/>
              </w:rPr>
              <w:t>, limit of additive</w:t>
            </w:r>
            <w:r w:rsidR="00E80F94">
              <w:rPr>
                <w:rFonts w:ascii="Arial" w:hAnsi="Arial" w:cs="Arial"/>
                <w:bCs/>
                <w:sz w:val="20"/>
                <w:szCs w:val="20"/>
              </w:rPr>
              <w:t>s</w:t>
            </w:r>
            <w:r w:rsidRPr="00A72B35">
              <w:rPr>
                <w:rFonts w:ascii="Arial" w:hAnsi="Arial" w:cs="Arial"/>
                <w:bCs/>
                <w:sz w:val="20"/>
                <w:szCs w:val="20"/>
              </w:rPr>
              <w:t>, medical insurance hospitalization expense reimbursement ratio, the substitution rate of the minimum living security standard account in consumption expenditure, regular health checkup rate</w:t>
            </w:r>
            <w:r w:rsidR="00E80F94">
              <w:rPr>
                <w:rFonts w:ascii="Arial" w:hAnsi="Arial" w:cs="Arial"/>
                <w:bCs/>
                <w:sz w:val="20"/>
                <w:szCs w:val="20"/>
              </w:rPr>
              <w:t>s</w:t>
            </w:r>
            <w:r w:rsidRPr="00A72B35">
              <w:rPr>
                <w:rFonts w:ascii="Arial" w:hAnsi="Arial" w:cs="Arial"/>
                <w:bCs/>
                <w:sz w:val="20"/>
                <w:szCs w:val="20"/>
              </w:rPr>
              <w:t xml:space="preserve"> of employees, overall 5-year survival rate of cancer, total fertility rate, number of health trails per 10,000 people, popular opinion indicators, and ratio of urban and rural residents who have passed the “National Physique Determination Standards”.</w:t>
            </w:r>
          </w:p>
        </w:tc>
      </w:tr>
      <w:tr w:rsidR="00551F05" w:rsidRPr="00A72B35" w14:paraId="19AFB2DD" w14:textId="77777777" w:rsidTr="00A97F2F">
        <w:tc>
          <w:tcPr>
            <w:tcW w:w="3403" w:type="dxa"/>
            <w:shd w:val="clear" w:color="auto" w:fill="auto"/>
          </w:tcPr>
          <w:p w14:paraId="0B77CF54"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0E597A26" w14:textId="01B9C4CF"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3. Consider</w:t>
            </w:r>
            <w:r w:rsidR="00E80F94">
              <w:rPr>
                <w:rFonts w:ascii="Arial" w:hAnsi="Arial" w:cs="Arial"/>
                <w:bCs/>
                <w:sz w:val="20"/>
                <w:szCs w:val="20"/>
              </w:rPr>
              <w:t>ing</w:t>
            </w:r>
            <w:r w:rsidRPr="00A72B35">
              <w:rPr>
                <w:rFonts w:ascii="Arial" w:hAnsi="Arial" w:cs="Arial"/>
                <w:bCs/>
                <w:sz w:val="20"/>
                <w:szCs w:val="20"/>
              </w:rPr>
              <w:t xml:space="preserve"> the discrimination of gender is rare in </w:t>
            </w:r>
            <w:r w:rsidR="00E80F94">
              <w:rPr>
                <w:rFonts w:ascii="Arial" w:hAnsi="Arial" w:cs="Arial"/>
                <w:bCs/>
                <w:sz w:val="20"/>
                <w:szCs w:val="20"/>
              </w:rPr>
              <w:t xml:space="preserve">the </w:t>
            </w:r>
            <w:r w:rsidRPr="00A72B35">
              <w:rPr>
                <w:rFonts w:ascii="Arial" w:hAnsi="Arial" w:cs="Arial"/>
                <w:bCs/>
                <w:sz w:val="20"/>
                <w:szCs w:val="20"/>
              </w:rPr>
              <w:t>urban area,</w:t>
            </w:r>
            <w:r w:rsidR="00E80F94">
              <w:rPr>
                <w:rFonts w:ascii="Arial" w:hAnsi="Arial" w:cs="Arial"/>
                <w:bCs/>
                <w:sz w:val="20"/>
                <w:szCs w:val="20"/>
              </w:rPr>
              <w:t xml:space="preserve"> </w:t>
            </w:r>
            <w:r w:rsidRPr="00A72B35">
              <w:rPr>
                <w:rFonts w:ascii="Arial" w:hAnsi="Arial" w:cs="Arial"/>
                <w:bCs/>
                <w:sz w:val="20"/>
                <w:szCs w:val="20"/>
              </w:rPr>
              <w:t>the sex ratio could be deleted.</w:t>
            </w:r>
          </w:p>
        </w:tc>
      </w:tr>
      <w:tr w:rsidR="00551F05" w:rsidRPr="00A72B35" w14:paraId="4B8D940B" w14:textId="77777777" w:rsidTr="00A97F2F">
        <w:tc>
          <w:tcPr>
            <w:tcW w:w="3403" w:type="dxa"/>
            <w:shd w:val="clear" w:color="auto" w:fill="auto"/>
          </w:tcPr>
          <w:p w14:paraId="046D7E76"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779934DA" w14:textId="6076B0C5"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4. “Gross enrolment ratio in high school”</w:t>
            </w:r>
            <w:r w:rsidR="00E80F94">
              <w:rPr>
                <w:rFonts w:ascii="Arial" w:hAnsi="Arial" w:cs="Arial"/>
                <w:bCs/>
                <w:sz w:val="20"/>
                <w:szCs w:val="20"/>
              </w:rPr>
              <w:t>:</w:t>
            </w:r>
            <w:r w:rsidRPr="00A72B35">
              <w:rPr>
                <w:rFonts w:ascii="Arial" w:hAnsi="Arial" w:cs="Arial"/>
                <w:bCs/>
                <w:sz w:val="20"/>
                <w:szCs w:val="20"/>
              </w:rPr>
              <w:t xml:space="preserve"> the target population is not fixed</w:t>
            </w:r>
            <w:r w:rsidR="00E80F94">
              <w:rPr>
                <w:rFonts w:ascii="Arial" w:hAnsi="Arial" w:cs="Arial"/>
                <w:bCs/>
                <w:sz w:val="20"/>
                <w:szCs w:val="20"/>
              </w:rPr>
              <w:t xml:space="preserve"> because of the migration</w:t>
            </w:r>
            <w:r w:rsidRPr="00A72B35">
              <w:rPr>
                <w:rFonts w:ascii="Arial" w:hAnsi="Arial" w:cs="Arial"/>
                <w:bCs/>
                <w:sz w:val="20"/>
                <w:szCs w:val="20"/>
              </w:rPr>
              <w:t>, so obtain</w:t>
            </w:r>
            <w:r w:rsidR="00E80F94">
              <w:rPr>
                <w:rFonts w:ascii="Arial" w:hAnsi="Arial" w:cs="Arial"/>
                <w:bCs/>
                <w:sz w:val="20"/>
                <w:szCs w:val="20"/>
              </w:rPr>
              <w:t>ing</w:t>
            </w:r>
            <w:r w:rsidRPr="00A72B35">
              <w:rPr>
                <w:rFonts w:ascii="Arial" w:hAnsi="Arial" w:cs="Arial"/>
                <w:bCs/>
                <w:sz w:val="20"/>
                <w:szCs w:val="20"/>
              </w:rPr>
              <w:t xml:space="preserve"> an indicator value greater than 100%</w:t>
            </w:r>
            <w:r w:rsidR="00E80F94">
              <w:rPr>
                <w:rFonts w:ascii="Arial" w:hAnsi="Arial" w:cs="Arial"/>
                <w:bCs/>
                <w:sz w:val="20"/>
                <w:szCs w:val="20"/>
              </w:rPr>
              <w:t xml:space="preserve"> </w:t>
            </w:r>
            <w:r w:rsidR="00E80F94" w:rsidRPr="00A72B35">
              <w:rPr>
                <w:rFonts w:ascii="Arial" w:hAnsi="Arial" w:cs="Arial"/>
                <w:bCs/>
                <w:sz w:val="20"/>
                <w:szCs w:val="20"/>
              </w:rPr>
              <w:t>is possible</w:t>
            </w:r>
            <w:r w:rsidRPr="00A72B35">
              <w:rPr>
                <w:rFonts w:ascii="Arial" w:hAnsi="Arial" w:cs="Arial"/>
                <w:bCs/>
                <w:sz w:val="20"/>
                <w:szCs w:val="20"/>
              </w:rPr>
              <w:t xml:space="preserve">. </w:t>
            </w:r>
            <w:r w:rsidR="00E80F94">
              <w:rPr>
                <w:rFonts w:ascii="Arial" w:hAnsi="Arial" w:cs="Arial"/>
                <w:bCs/>
                <w:sz w:val="20"/>
                <w:szCs w:val="20"/>
              </w:rPr>
              <w:t>This indicator may be</w:t>
            </w:r>
            <w:r w:rsidRPr="00A72B35">
              <w:rPr>
                <w:rFonts w:ascii="Arial" w:hAnsi="Arial" w:cs="Arial"/>
                <w:bCs/>
                <w:sz w:val="20"/>
                <w:szCs w:val="20"/>
              </w:rPr>
              <w:t xml:space="preserve"> delete</w:t>
            </w:r>
            <w:r w:rsidR="00E80F94">
              <w:rPr>
                <w:rFonts w:ascii="Arial" w:hAnsi="Arial" w:cs="Arial"/>
                <w:bCs/>
                <w:sz w:val="20"/>
                <w:szCs w:val="20"/>
              </w:rPr>
              <w:t>d</w:t>
            </w:r>
            <w:r w:rsidRPr="00A72B35">
              <w:rPr>
                <w:rFonts w:ascii="Arial" w:hAnsi="Arial" w:cs="Arial"/>
                <w:bCs/>
                <w:sz w:val="20"/>
                <w:szCs w:val="20"/>
              </w:rPr>
              <w:t>.</w:t>
            </w:r>
          </w:p>
        </w:tc>
      </w:tr>
      <w:tr w:rsidR="00551F05" w:rsidRPr="00A72B35" w14:paraId="1BCC8F0F" w14:textId="77777777" w:rsidTr="00A97F2F">
        <w:tc>
          <w:tcPr>
            <w:tcW w:w="3403" w:type="dxa"/>
            <w:shd w:val="clear" w:color="auto" w:fill="auto"/>
          </w:tcPr>
          <w:p w14:paraId="117545C9"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5B02F70D" w14:textId="704DDF5D" w:rsidR="00551F05" w:rsidRPr="00A72B35" w:rsidRDefault="00551F05" w:rsidP="00861B37">
            <w:pPr>
              <w:spacing w:line="480" w:lineRule="auto"/>
              <w:rPr>
                <w:rFonts w:ascii="Arial" w:hAnsi="Arial" w:cs="Arial"/>
                <w:bCs/>
                <w:sz w:val="20"/>
                <w:szCs w:val="20"/>
              </w:rPr>
            </w:pPr>
            <w:bookmarkStart w:id="2" w:name="_Hlk14342324"/>
            <w:r w:rsidRPr="00A72B35">
              <w:rPr>
                <w:rFonts w:ascii="Arial" w:hAnsi="Arial" w:cs="Arial"/>
                <w:bCs/>
                <w:sz w:val="20"/>
                <w:szCs w:val="20"/>
              </w:rPr>
              <w:t xml:space="preserve">5. “The management rate of children of migrant workers </w:t>
            </w:r>
            <w:r w:rsidR="00E80F94">
              <w:rPr>
                <w:rFonts w:ascii="Arial" w:hAnsi="Arial" w:cs="Arial"/>
                <w:bCs/>
                <w:sz w:val="20"/>
                <w:szCs w:val="20"/>
              </w:rPr>
              <w:t>is</w:t>
            </w:r>
            <w:r w:rsidR="00E80F94" w:rsidRPr="00A72B35">
              <w:rPr>
                <w:rFonts w:ascii="Arial" w:hAnsi="Arial" w:cs="Arial"/>
                <w:bCs/>
                <w:sz w:val="20"/>
                <w:szCs w:val="20"/>
              </w:rPr>
              <w:t xml:space="preserve"> </w:t>
            </w:r>
            <w:r w:rsidRPr="00A72B35">
              <w:rPr>
                <w:rFonts w:ascii="Arial" w:hAnsi="Arial" w:cs="Arial"/>
                <w:bCs/>
                <w:sz w:val="20"/>
                <w:szCs w:val="20"/>
              </w:rPr>
              <w:t xml:space="preserve">included in the </w:t>
            </w:r>
            <w:r w:rsidRPr="00A72B35">
              <w:rPr>
                <w:rFonts w:ascii="Arial" w:hAnsi="Arial" w:cs="Arial"/>
                <w:bCs/>
                <w:sz w:val="20"/>
                <w:szCs w:val="20"/>
              </w:rPr>
              <w:lastRenderedPageBreak/>
              <w:t>local</w:t>
            </w:r>
            <w:r w:rsidR="00E80F94">
              <w:rPr>
                <w:rFonts w:ascii="Arial" w:hAnsi="Arial" w:cs="Arial"/>
                <w:bCs/>
                <w:sz w:val="20"/>
                <w:szCs w:val="20"/>
              </w:rPr>
              <w:t>ly</w:t>
            </w:r>
            <w:r w:rsidRPr="00A72B35">
              <w:rPr>
                <w:rFonts w:ascii="Arial" w:hAnsi="Arial" w:cs="Arial"/>
                <w:bCs/>
                <w:sz w:val="20"/>
                <w:szCs w:val="20"/>
              </w:rPr>
              <w:t xml:space="preserve"> planned immunization program”. The population mobility is very large and most residents attach great importance to children</w:t>
            </w:r>
            <w:r w:rsidR="004F4B16">
              <w:rPr>
                <w:rFonts w:ascii="Arial" w:hAnsi="Arial" w:cs="Arial"/>
                <w:bCs/>
                <w:sz w:val="20"/>
                <w:szCs w:val="20"/>
              </w:rPr>
              <w:t>’s</w:t>
            </w:r>
            <w:r w:rsidRPr="00A72B35">
              <w:rPr>
                <w:rFonts w:ascii="Arial" w:hAnsi="Arial" w:cs="Arial"/>
                <w:bCs/>
                <w:sz w:val="20"/>
                <w:szCs w:val="20"/>
              </w:rPr>
              <w:t xml:space="preserve"> vaccination, so </w:t>
            </w:r>
            <w:r w:rsidR="004F4B16">
              <w:rPr>
                <w:rFonts w:ascii="Arial" w:hAnsi="Arial" w:cs="Arial"/>
                <w:bCs/>
                <w:sz w:val="20"/>
                <w:szCs w:val="20"/>
              </w:rPr>
              <w:t xml:space="preserve">this indicator </w:t>
            </w:r>
            <w:r w:rsidRPr="00A72B35">
              <w:rPr>
                <w:rFonts w:ascii="Arial" w:hAnsi="Arial" w:cs="Arial"/>
                <w:bCs/>
                <w:sz w:val="20"/>
                <w:szCs w:val="20"/>
              </w:rPr>
              <w:t>could be deleted from the system indicator.</w:t>
            </w:r>
            <w:bookmarkEnd w:id="2"/>
          </w:p>
        </w:tc>
      </w:tr>
      <w:tr w:rsidR="00551F05" w:rsidRPr="00A72B35" w14:paraId="7093B5B0" w14:textId="77777777" w:rsidTr="00A97F2F">
        <w:tc>
          <w:tcPr>
            <w:tcW w:w="3403" w:type="dxa"/>
            <w:shd w:val="clear" w:color="auto" w:fill="auto"/>
          </w:tcPr>
          <w:p w14:paraId="1198E40E"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3171AA01"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6. The “pass rate of cosmetic inspection sampling” can be deleted, because it’s not related to health closely. </w:t>
            </w:r>
          </w:p>
        </w:tc>
      </w:tr>
      <w:tr w:rsidR="00551F05" w:rsidRPr="00A72B35" w14:paraId="52DF34B3" w14:textId="77777777" w:rsidTr="00A97F2F">
        <w:tc>
          <w:tcPr>
            <w:tcW w:w="3403" w:type="dxa"/>
            <w:shd w:val="clear" w:color="auto" w:fill="auto"/>
          </w:tcPr>
          <w:p w14:paraId="6DAE0C28"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49155809" w14:textId="1B265AD3"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7. </w:t>
            </w:r>
            <w:bookmarkStart w:id="3" w:name="_Hlk14342057"/>
            <w:r w:rsidRPr="00A72B35">
              <w:rPr>
                <w:rFonts w:ascii="Arial" w:hAnsi="Arial" w:cs="Arial"/>
                <w:bCs/>
                <w:sz w:val="20"/>
                <w:szCs w:val="20"/>
              </w:rPr>
              <w:t>“Compliance rate of pedestrian and bicycle transportation system construction”</w:t>
            </w:r>
            <w:r w:rsidR="004F4B16">
              <w:rPr>
                <w:rFonts w:ascii="Arial" w:hAnsi="Arial" w:cs="Arial"/>
                <w:bCs/>
                <w:sz w:val="20"/>
                <w:szCs w:val="20"/>
              </w:rPr>
              <w:t>:</w:t>
            </w:r>
            <w:r w:rsidRPr="00A72B35">
              <w:rPr>
                <w:rFonts w:ascii="Arial" w:hAnsi="Arial" w:cs="Arial"/>
                <w:bCs/>
                <w:sz w:val="20"/>
                <w:szCs w:val="20"/>
              </w:rPr>
              <w:t xml:space="preserve"> Chongqing is </w:t>
            </w:r>
            <w:r w:rsidR="004F4B16">
              <w:rPr>
                <w:rFonts w:ascii="Arial" w:hAnsi="Arial" w:cs="Arial"/>
                <w:bCs/>
                <w:sz w:val="20"/>
                <w:szCs w:val="20"/>
              </w:rPr>
              <w:t>known</w:t>
            </w:r>
            <w:r w:rsidR="004F4B16" w:rsidRPr="00A72B35">
              <w:rPr>
                <w:rFonts w:ascii="Arial" w:hAnsi="Arial" w:cs="Arial"/>
                <w:bCs/>
                <w:sz w:val="20"/>
                <w:szCs w:val="20"/>
              </w:rPr>
              <w:t xml:space="preserve"> </w:t>
            </w:r>
            <w:r w:rsidRPr="00A72B35">
              <w:rPr>
                <w:rFonts w:ascii="Arial" w:hAnsi="Arial" w:cs="Arial"/>
                <w:bCs/>
                <w:sz w:val="20"/>
                <w:szCs w:val="20"/>
              </w:rPr>
              <w:t xml:space="preserve">as </w:t>
            </w:r>
            <w:r w:rsidR="004F4B16">
              <w:rPr>
                <w:rFonts w:ascii="Arial" w:hAnsi="Arial" w:cs="Arial"/>
                <w:bCs/>
                <w:sz w:val="20"/>
                <w:szCs w:val="20"/>
              </w:rPr>
              <w:t>a m</w:t>
            </w:r>
            <w:r w:rsidR="004F4B16" w:rsidRPr="00A72B35">
              <w:rPr>
                <w:rFonts w:ascii="Arial" w:hAnsi="Arial" w:cs="Arial"/>
                <w:bCs/>
                <w:sz w:val="20"/>
                <w:szCs w:val="20"/>
              </w:rPr>
              <w:t xml:space="preserve">ountain </w:t>
            </w:r>
            <w:r w:rsidRPr="00A72B35">
              <w:rPr>
                <w:rFonts w:ascii="Arial" w:hAnsi="Arial" w:cs="Arial"/>
                <w:bCs/>
                <w:sz w:val="20"/>
                <w:szCs w:val="20"/>
              </w:rPr>
              <w:t>city, so the bicycle is a</w:t>
            </w:r>
            <w:r w:rsidR="004F4B16">
              <w:rPr>
                <w:rFonts w:ascii="Arial" w:hAnsi="Arial" w:cs="Arial"/>
                <w:bCs/>
                <w:sz w:val="20"/>
                <w:szCs w:val="20"/>
              </w:rPr>
              <w:t>n</w:t>
            </w:r>
            <w:r w:rsidRPr="00A72B35">
              <w:rPr>
                <w:rFonts w:ascii="Arial" w:hAnsi="Arial" w:cs="Arial"/>
                <w:bCs/>
                <w:sz w:val="20"/>
                <w:szCs w:val="20"/>
              </w:rPr>
              <w:t xml:space="preserve"> </w:t>
            </w:r>
            <w:r w:rsidR="004F4B16">
              <w:rPr>
                <w:rFonts w:ascii="Arial" w:hAnsi="Arial" w:cs="Arial"/>
                <w:bCs/>
                <w:sz w:val="20"/>
                <w:szCs w:val="20"/>
              </w:rPr>
              <w:t>un</w:t>
            </w:r>
            <w:r w:rsidRPr="00A72B35">
              <w:rPr>
                <w:rFonts w:ascii="Arial" w:hAnsi="Arial" w:cs="Arial"/>
                <w:bCs/>
                <w:sz w:val="20"/>
                <w:szCs w:val="20"/>
              </w:rPr>
              <w:t xml:space="preserve">common and </w:t>
            </w:r>
            <w:r w:rsidR="004F4B16">
              <w:rPr>
                <w:rFonts w:ascii="Arial" w:hAnsi="Arial" w:cs="Arial"/>
                <w:bCs/>
                <w:sz w:val="20"/>
                <w:szCs w:val="20"/>
              </w:rPr>
              <w:t>un</w:t>
            </w:r>
            <w:r w:rsidRPr="00A72B35">
              <w:rPr>
                <w:rFonts w:ascii="Arial" w:hAnsi="Arial" w:cs="Arial"/>
                <w:bCs/>
                <w:sz w:val="20"/>
                <w:szCs w:val="20"/>
              </w:rPr>
              <w:t>suitable transport for this city.</w:t>
            </w:r>
            <w:bookmarkEnd w:id="3"/>
          </w:p>
        </w:tc>
      </w:tr>
      <w:tr w:rsidR="00551F05" w:rsidRPr="00A72B35" w14:paraId="4C730D1A" w14:textId="77777777" w:rsidTr="00A97F2F">
        <w:tc>
          <w:tcPr>
            <w:tcW w:w="3403" w:type="dxa"/>
            <w:shd w:val="clear" w:color="auto" w:fill="auto"/>
          </w:tcPr>
          <w:p w14:paraId="57F5924A"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02FA03DE" w14:textId="08998775"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8. For the vaccination, the most important one is the immunization planning vaccination rate</w:t>
            </w:r>
            <w:r w:rsidR="004F4B16">
              <w:rPr>
                <w:rFonts w:ascii="Arial" w:hAnsi="Arial" w:cs="Arial"/>
                <w:bCs/>
                <w:sz w:val="20"/>
                <w:szCs w:val="20"/>
              </w:rPr>
              <w:t>;</w:t>
            </w:r>
            <w:r w:rsidR="004F4B16" w:rsidRPr="00A72B35">
              <w:rPr>
                <w:rFonts w:ascii="Arial" w:hAnsi="Arial" w:cs="Arial"/>
                <w:bCs/>
                <w:sz w:val="20"/>
                <w:szCs w:val="20"/>
              </w:rPr>
              <w:t xml:space="preserve"> </w:t>
            </w:r>
            <w:r w:rsidRPr="00A72B35">
              <w:rPr>
                <w:rFonts w:ascii="Arial" w:hAnsi="Arial" w:cs="Arial"/>
                <w:bCs/>
                <w:sz w:val="20"/>
                <w:szCs w:val="20"/>
              </w:rPr>
              <w:t xml:space="preserve">the others are not necessary. </w:t>
            </w:r>
          </w:p>
        </w:tc>
      </w:tr>
      <w:tr w:rsidR="00551F05" w:rsidRPr="00A72B35" w14:paraId="5A038A1F" w14:textId="77777777" w:rsidTr="00A97F2F">
        <w:tc>
          <w:tcPr>
            <w:tcW w:w="3403" w:type="dxa"/>
            <w:shd w:val="clear" w:color="auto" w:fill="auto"/>
          </w:tcPr>
          <w:p w14:paraId="74CA73CA"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15C8F8F5" w14:textId="69BDE3BB"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9. “Carry out </w:t>
            </w:r>
            <w:r w:rsidR="004F4B16">
              <w:rPr>
                <w:rFonts w:ascii="Arial" w:hAnsi="Arial" w:cs="Arial"/>
                <w:bCs/>
                <w:sz w:val="20"/>
                <w:szCs w:val="20"/>
              </w:rPr>
              <w:t xml:space="preserve">the </w:t>
            </w:r>
            <w:r w:rsidR="004F4B16" w:rsidRPr="00A72B35">
              <w:rPr>
                <w:rFonts w:ascii="Arial" w:hAnsi="Arial" w:cs="Arial"/>
                <w:bCs/>
                <w:sz w:val="20"/>
                <w:szCs w:val="20"/>
              </w:rPr>
              <w:t xml:space="preserve">construction </w:t>
            </w:r>
            <w:r w:rsidR="004F4B16">
              <w:rPr>
                <w:rFonts w:ascii="Arial" w:hAnsi="Arial" w:cs="Arial"/>
                <w:bCs/>
                <w:sz w:val="20"/>
                <w:szCs w:val="20"/>
              </w:rPr>
              <w:t xml:space="preserve">of </w:t>
            </w:r>
            <w:r w:rsidRPr="00A72B35">
              <w:rPr>
                <w:rFonts w:ascii="Arial" w:hAnsi="Arial" w:cs="Arial"/>
                <w:bCs/>
                <w:sz w:val="20"/>
                <w:szCs w:val="20"/>
              </w:rPr>
              <w:t xml:space="preserve">supporting </w:t>
            </w:r>
            <w:r w:rsidR="004F4B16">
              <w:rPr>
                <w:rFonts w:ascii="Arial" w:hAnsi="Arial" w:cs="Arial"/>
                <w:bCs/>
                <w:sz w:val="20"/>
                <w:szCs w:val="20"/>
              </w:rPr>
              <w:t>facilities,</w:t>
            </w:r>
            <w:r w:rsidR="004F4B16" w:rsidRPr="00A72B35">
              <w:rPr>
                <w:rFonts w:ascii="Arial" w:hAnsi="Arial" w:cs="Arial"/>
                <w:bCs/>
                <w:sz w:val="20"/>
                <w:szCs w:val="20"/>
              </w:rPr>
              <w:t xml:space="preserve"> </w:t>
            </w:r>
            <w:r w:rsidRPr="00A72B35">
              <w:rPr>
                <w:rFonts w:ascii="Arial" w:hAnsi="Arial" w:cs="Arial"/>
                <w:bCs/>
                <w:sz w:val="20"/>
                <w:szCs w:val="20"/>
              </w:rPr>
              <w:t xml:space="preserve">such as healthy canteens, restaurants/hotels, health theme parks, health huts, and health streets.” This is totally a qualitative indicator and </w:t>
            </w:r>
            <w:r w:rsidR="004F4B16">
              <w:rPr>
                <w:rFonts w:ascii="Arial" w:hAnsi="Arial" w:cs="Arial"/>
                <w:bCs/>
                <w:sz w:val="20"/>
                <w:szCs w:val="20"/>
              </w:rPr>
              <w:t>is, therefore,</w:t>
            </w:r>
            <w:r w:rsidRPr="00A72B35">
              <w:rPr>
                <w:rFonts w:ascii="Arial" w:hAnsi="Arial" w:cs="Arial"/>
                <w:bCs/>
                <w:sz w:val="20"/>
                <w:szCs w:val="20"/>
              </w:rPr>
              <w:t xml:space="preserve"> subjective.</w:t>
            </w:r>
          </w:p>
        </w:tc>
      </w:tr>
      <w:tr w:rsidR="00551F05" w:rsidRPr="00A72B35" w14:paraId="75F7D4AF" w14:textId="77777777" w:rsidTr="00A97F2F">
        <w:tc>
          <w:tcPr>
            <w:tcW w:w="3403" w:type="dxa"/>
            <w:shd w:val="clear" w:color="auto" w:fill="auto"/>
          </w:tcPr>
          <w:p w14:paraId="54D6AD2A"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4ABDFF4C" w14:textId="0E0B3F34"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10. “Compliance rate of National Student Physical Health Standard” is more commonly used in practical work compared with the “Excellent Rate of Student Physique Monitoring</w:t>
            </w:r>
            <w:r w:rsidR="004F4B16">
              <w:rPr>
                <w:rFonts w:ascii="Arial" w:hAnsi="Arial" w:cs="Arial"/>
                <w:bCs/>
                <w:sz w:val="20"/>
                <w:szCs w:val="20"/>
              </w:rPr>
              <w:t>”;</w:t>
            </w:r>
            <w:r w:rsidRPr="00A72B35">
              <w:rPr>
                <w:rFonts w:ascii="Arial" w:hAnsi="Arial" w:cs="Arial"/>
                <w:bCs/>
                <w:sz w:val="20"/>
                <w:szCs w:val="20"/>
              </w:rPr>
              <w:t xml:space="preserve"> </w:t>
            </w:r>
            <w:r w:rsidR="004F4B16">
              <w:rPr>
                <w:rFonts w:ascii="Arial" w:hAnsi="Arial" w:cs="Arial"/>
                <w:bCs/>
                <w:sz w:val="20"/>
                <w:szCs w:val="20"/>
              </w:rPr>
              <w:t xml:space="preserve">thus </w:t>
            </w:r>
            <w:r w:rsidRPr="00A72B35">
              <w:rPr>
                <w:rFonts w:ascii="Arial" w:hAnsi="Arial" w:cs="Arial"/>
                <w:bCs/>
                <w:sz w:val="20"/>
                <w:szCs w:val="20"/>
              </w:rPr>
              <w:t>the former</w:t>
            </w:r>
            <w:r w:rsidR="004F4B16">
              <w:rPr>
                <w:rFonts w:ascii="Arial" w:hAnsi="Arial" w:cs="Arial"/>
                <w:bCs/>
                <w:sz w:val="20"/>
                <w:szCs w:val="20"/>
              </w:rPr>
              <w:t xml:space="preserve"> is chosen</w:t>
            </w:r>
            <w:r w:rsidRPr="00A72B35">
              <w:rPr>
                <w:rFonts w:ascii="Arial" w:hAnsi="Arial" w:cs="Arial"/>
                <w:bCs/>
                <w:sz w:val="20"/>
                <w:szCs w:val="20"/>
              </w:rPr>
              <w:t xml:space="preserve">. </w:t>
            </w:r>
          </w:p>
        </w:tc>
      </w:tr>
      <w:tr w:rsidR="00551F05" w:rsidRPr="00A72B35" w14:paraId="285D25E2" w14:textId="77777777" w:rsidTr="00A97F2F">
        <w:tc>
          <w:tcPr>
            <w:tcW w:w="3403" w:type="dxa"/>
            <w:shd w:val="clear" w:color="auto" w:fill="auto"/>
          </w:tcPr>
          <w:p w14:paraId="3FA721C1"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09C6BD69" w14:textId="53EE09EB"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11. “Student regular physical examination rate” includes vision, dental caries, otolaryngology</w:t>
            </w:r>
            <w:r w:rsidR="004F4B16">
              <w:rPr>
                <w:rFonts w:ascii="Arial" w:hAnsi="Arial" w:cs="Arial"/>
                <w:bCs/>
                <w:sz w:val="20"/>
                <w:szCs w:val="20"/>
              </w:rPr>
              <w:t>,</w:t>
            </w:r>
            <w:r w:rsidRPr="00A72B35">
              <w:rPr>
                <w:rFonts w:ascii="Arial" w:hAnsi="Arial" w:cs="Arial"/>
                <w:bCs/>
                <w:sz w:val="20"/>
                <w:szCs w:val="20"/>
              </w:rPr>
              <w:t xml:space="preserve"> and other physiological items</w:t>
            </w:r>
            <w:r w:rsidR="004F4B16">
              <w:rPr>
                <w:rFonts w:ascii="Arial" w:hAnsi="Arial" w:cs="Arial"/>
                <w:bCs/>
                <w:sz w:val="20"/>
                <w:szCs w:val="20"/>
              </w:rPr>
              <w:t>;</w:t>
            </w:r>
            <w:r w:rsidRPr="00A72B35">
              <w:rPr>
                <w:rFonts w:ascii="Arial" w:hAnsi="Arial" w:cs="Arial"/>
                <w:bCs/>
                <w:sz w:val="20"/>
                <w:szCs w:val="20"/>
              </w:rPr>
              <w:t xml:space="preserve"> select</w:t>
            </w:r>
            <w:r w:rsidR="004F4B16">
              <w:rPr>
                <w:rFonts w:ascii="Arial" w:hAnsi="Arial" w:cs="Arial"/>
                <w:bCs/>
                <w:sz w:val="20"/>
                <w:szCs w:val="20"/>
              </w:rPr>
              <w:t>ing</w:t>
            </w:r>
            <w:r w:rsidRPr="00A72B35">
              <w:rPr>
                <w:rFonts w:ascii="Arial" w:hAnsi="Arial" w:cs="Arial"/>
                <w:bCs/>
                <w:sz w:val="20"/>
                <w:szCs w:val="20"/>
              </w:rPr>
              <w:t xml:space="preserve"> the next level detailed indicator instead of the integrated indicator</w:t>
            </w:r>
            <w:r w:rsidR="004F4B16">
              <w:rPr>
                <w:rFonts w:ascii="Arial" w:hAnsi="Arial" w:cs="Arial"/>
                <w:bCs/>
                <w:sz w:val="20"/>
                <w:szCs w:val="20"/>
              </w:rPr>
              <w:t xml:space="preserve"> is advised</w:t>
            </w:r>
            <w:r w:rsidRPr="00A72B35">
              <w:rPr>
                <w:rFonts w:ascii="Arial" w:hAnsi="Arial" w:cs="Arial"/>
                <w:bCs/>
                <w:sz w:val="20"/>
                <w:szCs w:val="20"/>
              </w:rPr>
              <w:t>.</w:t>
            </w:r>
          </w:p>
        </w:tc>
      </w:tr>
      <w:tr w:rsidR="00551F05" w:rsidRPr="00A72B35" w14:paraId="620B6298" w14:textId="77777777" w:rsidTr="00A97F2F">
        <w:tc>
          <w:tcPr>
            <w:tcW w:w="3403" w:type="dxa"/>
            <w:shd w:val="clear" w:color="auto" w:fill="auto"/>
          </w:tcPr>
          <w:p w14:paraId="1883268C"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7A6A7B5C" w14:textId="3D039B31"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12. The Healthy City emphasizes primary health services</w:t>
            </w:r>
            <w:r w:rsidR="004F4B16">
              <w:rPr>
                <w:rFonts w:ascii="Arial" w:hAnsi="Arial" w:cs="Arial"/>
                <w:bCs/>
                <w:sz w:val="20"/>
                <w:szCs w:val="20"/>
              </w:rPr>
              <w:t>; thus,</w:t>
            </w:r>
            <w:r w:rsidRPr="00A72B35">
              <w:rPr>
                <w:rFonts w:ascii="Arial" w:hAnsi="Arial" w:cs="Arial"/>
                <w:bCs/>
                <w:sz w:val="20"/>
                <w:szCs w:val="20"/>
              </w:rPr>
              <w:t xml:space="preserve"> select</w:t>
            </w:r>
            <w:r w:rsidR="004F4B16">
              <w:rPr>
                <w:rFonts w:ascii="Arial" w:hAnsi="Arial" w:cs="Arial"/>
                <w:bCs/>
                <w:sz w:val="20"/>
                <w:szCs w:val="20"/>
              </w:rPr>
              <w:t>ing</w:t>
            </w:r>
            <w:r w:rsidRPr="00A72B35">
              <w:rPr>
                <w:rFonts w:ascii="Arial" w:hAnsi="Arial" w:cs="Arial"/>
                <w:bCs/>
                <w:sz w:val="20"/>
                <w:szCs w:val="20"/>
              </w:rPr>
              <w:t xml:space="preserve"> the indicator of general practitioners instead </w:t>
            </w:r>
            <w:r w:rsidR="004F4B16">
              <w:rPr>
                <w:rFonts w:ascii="Arial" w:hAnsi="Arial" w:cs="Arial"/>
                <w:bCs/>
                <w:sz w:val="20"/>
                <w:szCs w:val="20"/>
              </w:rPr>
              <w:t xml:space="preserve">of </w:t>
            </w:r>
            <w:r w:rsidRPr="00A72B35">
              <w:rPr>
                <w:rFonts w:ascii="Arial" w:hAnsi="Arial" w:cs="Arial"/>
                <w:bCs/>
                <w:sz w:val="20"/>
                <w:szCs w:val="20"/>
              </w:rPr>
              <w:t>the practicing (assistant) physicians</w:t>
            </w:r>
            <w:r w:rsidR="004F4B16">
              <w:rPr>
                <w:rFonts w:ascii="Arial" w:hAnsi="Arial" w:cs="Arial"/>
                <w:bCs/>
                <w:sz w:val="20"/>
                <w:szCs w:val="20"/>
              </w:rPr>
              <w:t xml:space="preserve"> is advised</w:t>
            </w:r>
            <w:r w:rsidRPr="00A72B35">
              <w:rPr>
                <w:rFonts w:ascii="Arial" w:hAnsi="Arial" w:cs="Arial"/>
                <w:bCs/>
                <w:sz w:val="20"/>
                <w:szCs w:val="20"/>
              </w:rPr>
              <w:t>. (</w:t>
            </w:r>
            <w:r w:rsidR="004F4B16">
              <w:rPr>
                <w:rFonts w:ascii="Arial" w:hAnsi="Arial" w:cs="Arial"/>
                <w:bCs/>
                <w:sz w:val="20"/>
                <w:szCs w:val="20"/>
              </w:rPr>
              <w:t>N</w:t>
            </w:r>
            <w:r w:rsidR="004F4B16" w:rsidRPr="00A72B35">
              <w:rPr>
                <w:rFonts w:ascii="Arial" w:hAnsi="Arial" w:cs="Arial"/>
                <w:bCs/>
                <w:sz w:val="20"/>
                <w:szCs w:val="20"/>
              </w:rPr>
              <w:t>ote</w:t>
            </w:r>
            <w:r w:rsidRPr="00A72B35">
              <w:rPr>
                <w:rFonts w:ascii="Arial" w:hAnsi="Arial" w:cs="Arial"/>
                <w:bCs/>
                <w:sz w:val="20"/>
                <w:szCs w:val="20"/>
              </w:rPr>
              <w:t>: the former is the health service provider of primary health services)</w:t>
            </w:r>
          </w:p>
        </w:tc>
      </w:tr>
      <w:tr w:rsidR="00551F05" w:rsidRPr="00A72B35" w14:paraId="4725E501" w14:textId="77777777" w:rsidTr="00A97F2F">
        <w:tc>
          <w:tcPr>
            <w:tcW w:w="3403" w:type="dxa"/>
            <w:shd w:val="clear" w:color="auto" w:fill="auto"/>
          </w:tcPr>
          <w:p w14:paraId="69D249E4"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4369A684" w14:textId="4E657DA4"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13. Health care expenditure </w:t>
            </w:r>
            <w:r w:rsidR="00161542">
              <w:rPr>
                <w:rFonts w:ascii="Arial" w:hAnsi="Arial" w:cs="Arial"/>
                <w:bCs/>
                <w:sz w:val="20"/>
                <w:szCs w:val="20"/>
              </w:rPr>
              <w:t xml:space="preserve">that </w:t>
            </w:r>
            <w:r w:rsidRPr="00A72B35">
              <w:rPr>
                <w:rFonts w:ascii="Arial" w:hAnsi="Arial" w:cs="Arial"/>
                <w:bCs/>
                <w:sz w:val="20"/>
                <w:szCs w:val="20"/>
              </w:rPr>
              <w:t>accounts for the proportion of fiscal expenditure is a reasonable indicator to reflect the government investment</w:t>
            </w:r>
            <w:r w:rsidR="00161542">
              <w:rPr>
                <w:rFonts w:ascii="Arial" w:hAnsi="Arial" w:cs="Arial"/>
                <w:bCs/>
                <w:sz w:val="20"/>
                <w:szCs w:val="20"/>
              </w:rPr>
              <w:t>;</w:t>
            </w:r>
            <w:r w:rsidRPr="00A72B35">
              <w:rPr>
                <w:rFonts w:ascii="Arial" w:hAnsi="Arial" w:cs="Arial"/>
                <w:bCs/>
                <w:sz w:val="20"/>
                <w:szCs w:val="20"/>
              </w:rPr>
              <w:t xml:space="preserve"> other medical economic indicators are not necessary.</w:t>
            </w:r>
          </w:p>
        </w:tc>
      </w:tr>
      <w:tr w:rsidR="00551F05" w:rsidRPr="00A72B35" w14:paraId="2AA5655E" w14:textId="77777777" w:rsidTr="00A97F2F">
        <w:tc>
          <w:tcPr>
            <w:tcW w:w="3403" w:type="dxa"/>
            <w:shd w:val="clear" w:color="auto" w:fill="auto"/>
          </w:tcPr>
          <w:p w14:paraId="13CF230B"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Consider to Supplement indicators</w:t>
            </w:r>
          </w:p>
        </w:tc>
        <w:tc>
          <w:tcPr>
            <w:tcW w:w="6945" w:type="dxa"/>
            <w:shd w:val="clear" w:color="auto" w:fill="auto"/>
          </w:tcPr>
          <w:p w14:paraId="0C802202" w14:textId="2691EA6D" w:rsidR="00551F05" w:rsidRPr="00A72B35" w:rsidRDefault="00551F05" w:rsidP="00861B37">
            <w:pPr>
              <w:spacing w:line="480" w:lineRule="auto"/>
              <w:rPr>
                <w:rFonts w:ascii="Arial" w:hAnsi="Arial" w:cs="Arial"/>
                <w:bCs/>
                <w:sz w:val="20"/>
                <w:szCs w:val="20"/>
                <w:highlight w:val="yellow"/>
              </w:rPr>
            </w:pPr>
            <w:r w:rsidRPr="00A72B35">
              <w:rPr>
                <w:rFonts w:ascii="Arial" w:hAnsi="Arial" w:cs="Arial"/>
                <w:bCs/>
                <w:sz w:val="20"/>
                <w:szCs w:val="20"/>
              </w:rPr>
              <w:t xml:space="preserve">1. </w:t>
            </w:r>
            <w:r w:rsidR="00161542">
              <w:rPr>
                <w:rFonts w:ascii="Arial" w:hAnsi="Arial" w:cs="Arial"/>
                <w:bCs/>
                <w:sz w:val="20"/>
                <w:szCs w:val="20"/>
              </w:rPr>
              <w:t>S</w:t>
            </w:r>
            <w:r w:rsidRPr="00A72B35">
              <w:rPr>
                <w:rFonts w:ascii="Arial" w:hAnsi="Arial" w:cs="Arial"/>
                <w:bCs/>
                <w:sz w:val="20"/>
                <w:szCs w:val="20"/>
              </w:rPr>
              <w:t>et</w:t>
            </w:r>
            <w:r w:rsidR="00161542">
              <w:rPr>
                <w:rFonts w:ascii="Arial" w:hAnsi="Arial" w:cs="Arial"/>
                <w:bCs/>
                <w:sz w:val="20"/>
                <w:szCs w:val="20"/>
              </w:rPr>
              <w:t>ting</w:t>
            </w:r>
            <w:r w:rsidRPr="00A72B35">
              <w:rPr>
                <w:rFonts w:ascii="Arial" w:hAnsi="Arial" w:cs="Arial"/>
                <w:bCs/>
                <w:sz w:val="20"/>
                <w:szCs w:val="20"/>
              </w:rPr>
              <w:t xml:space="preserve"> an indicator to monitor </w:t>
            </w:r>
            <w:r w:rsidR="00161542">
              <w:rPr>
                <w:rFonts w:ascii="Arial" w:hAnsi="Arial" w:cs="Arial"/>
                <w:bCs/>
                <w:sz w:val="20"/>
                <w:szCs w:val="20"/>
              </w:rPr>
              <w:t xml:space="preserve">the </w:t>
            </w:r>
            <w:r w:rsidRPr="00A72B35">
              <w:rPr>
                <w:rFonts w:ascii="Arial" w:hAnsi="Arial" w:cs="Arial"/>
                <w:bCs/>
                <w:sz w:val="20"/>
                <w:szCs w:val="20"/>
              </w:rPr>
              <w:t>configuration of full-time and part-time school doctors</w:t>
            </w:r>
            <w:r w:rsidR="00161542">
              <w:rPr>
                <w:rFonts w:ascii="Arial" w:hAnsi="Arial" w:cs="Arial"/>
                <w:bCs/>
                <w:sz w:val="20"/>
                <w:szCs w:val="20"/>
              </w:rPr>
              <w:t xml:space="preserve"> is advised</w:t>
            </w:r>
            <w:r w:rsidRPr="00A72B35">
              <w:rPr>
                <w:rFonts w:ascii="Arial" w:hAnsi="Arial" w:cs="Arial"/>
                <w:bCs/>
                <w:sz w:val="20"/>
                <w:szCs w:val="20"/>
              </w:rPr>
              <w:t>.</w:t>
            </w:r>
          </w:p>
        </w:tc>
      </w:tr>
      <w:tr w:rsidR="00551F05" w:rsidRPr="00A72B35" w14:paraId="0E274CD5" w14:textId="77777777" w:rsidTr="00A97F2F">
        <w:tc>
          <w:tcPr>
            <w:tcW w:w="3403" w:type="dxa"/>
            <w:shd w:val="clear" w:color="auto" w:fill="auto"/>
          </w:tcPr>
          <w:p w14:paraId="262E9B4B"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65086569" w14:textId="46DB1603"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2. </w:t>
            </w:r>
            <w:r w:rsidR="00161542">
              <w:rPr>
                <w:rFonts w:ascii="Arial" w:hAnsi="Arial" w:cs="Arial"/>
                <w:bCs/>
                <w:sz w:val="20"/>
                <w:szCs w:val="20"/>
              </w:rPr>
              <w:t>S</w:t>
            </w:r>
            <w:r w:rsidRPr="00A72B35">
              <w:rPr>
                <w:rFonts w:ascii="Arial" w:hAnsi="Arial" w:cs="Arial"/>
                <w:bCs/>
                <w:sz w:val="20"/>
                <w:szCs w:val="20"/>
              </w:rPr>
              <w:t>upplement</w:t>
            </w:r>
            <w:r w:rsidR="00161542">
              <w:rPr>
                <w:rFonts w:ascii="Arial" w:hAnsi="Arial" w:cs="Arial"/>
                <w:bCs/>
                <w:sz w:val="20"/>
                <w:szCs w:val="20"/>
              </w:rPr>
              <w:t>ing</w:t>
            </w:r>
            <w:r w:rsidRPr="00A72B35">
              <w:rPr>
                <w:rFonts w:ascii="Arial" w:hAnsi="Arial" w:cs="Arial"/>
                <w:bCs/>
                <w:sz w:val="20"/>
                <w:szCs w:val="20"/>
              </w:rPr>
              <w:t xml:space="preserve"> the indicator “Trends in the incidence of cardiovascular and cerebrovascular events”</w:t>
            </w:r>
            <w:r w:rsidR="00161542">
              <w:rPr>
                <w:rFonts w:ascii="Arial" w:hAnsi="Arial" w:cs="Arial"/>
                <w:bCs/>
                <w:sz w:val="20"/>
                <w:szCs w:val="20"/>
              </w:rPr>
              <w:t xml:space="preserve"> is suggested</w:t>
            </w:r>
            <w:r w:rsidRPr="00A72B35">
              <w:rPr>
                <w:rFonts w:ascii="Arial" w:hAnsi="Arial" w:cs="Arial"/>
                <w:bCs/>
                <w:sz w:val="20"/>
                <w:szCs w:val="20"/>
              </w:rPr>
              <w:t>.</w:t>
            </w:r>
          </w:p>
        </w:tc>
      </w:tr>
      <w:tr w:rsidR="00551F05" w:rsidRPr="00A72B35" w14:paraId="1F5AEE57" w14:textId="77777777" w:rsidTr="00A97F2F">
        <w:tc>
          <w:tcPr>
            <w:tcW w:w="3403" w:type="dxa"/>
            <w:shd w:val="clear" w:color="auto" w:fill="auto"/>
          </w:tcPr>
          <w:p w14:paraId="14BB3922"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6D8B9834" w14:textId="1637D216"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3. The most important target group for government medical assistance is </w:t>
            </w:r>
            <w:r w:rsidR="00161542">
              <w:rPr>
                <w:rFonts w:ascii="Arial" w:hAnsi="Arial" w:cs="Arial"/>
                <w:bCs/>
                <w:sz w:val="20"/>
                <w:szCs w:val="20"/>
              </w:rPr>
              <w:t xml:space="preserve">the </w:t>
            </w:r>
            <w:r w:rsidRPr="00A72B35">
              <w:rPr>
                <w:rFonts w:ascii="Arial" w:hAnsi="Arial" w:cs="Arial"/>
                <w:bCs/>
                <w:sz w:val="20"/>
                <w:szCs w:val="20"/>
              </w:rPr>
              <w:t>people who obtain the minimum living security and the extremely poor</w:t>
            </w:r>
            <w:r w:rsidR="00161542">
              <w:rPr>
                <w:rFonts w:ascii="Arial" w:hAnsi="Arial" w:cs="Arial"/>
                <w:bCs/>
                <w:sz w:val="20"/>
                <w:szCs w:val="20"/>
              </w:rPr>
              <w:t>;</w:t>
            </w:r>
            <w:r w:rsidRPr="00A72B35">
              <w:rPr>
                <w:rFonts w:ascii="Arial" w:hAnsi="Arial" w:cs="Arial"/>
                <w:bCs/>
                <w:sz w:val="20"/>
                <w:szCs w:val="20"/>
              </w:rPr>
              <w:t xml:space="preserve"> </w:t>
            </w:r>
            <w:r w:rsidR="00161542">
              <w:rPr>
                <w:rFonts w:ascii="Arial" w:hAnsi="Arial" w:cs="Arial"/>
                <w:bCs/>
                <w:sz w:val="20"/>
                <w:szCs w:val="20"/>
              </w:rPr>
              <w:t>thus,</w:t>
            </w:r>
            <w:r w:rsidRPr="00A72B35">
              <w:rPr>
                <w:rFonts w:ascii="Arial" w:hAnsi="Arial" w:cs="Arial"/>
                <w:bCs/>
                <w:sz w:val="20"/>
                <w:szCs w:val="20"/>
              </w:rPr>
              <w:t xml:space="preserve"> it is feasible to choose one </w:t>
            </w:r>
            <w:r w:rsidR="00161542">
              <w:rPr>
                <w:rFonts w:ascii="Arial" w:hAnsi="Arial" w:cs="Arial"/>
                <w:bCs/>
                <w:sz w:val="20"/>
                <w:szCs w:val="20"/>
              </w:rPr>
              <w:t>from</w:t>
            </w:r>
            <w:r w:rsidR="00161542" w:rsidRPr="00A72B35">
              <w:rPr>
                <w:rFonts w:ascii="Arial" w:hAnsi="Arial" w:cs="Arial"/>
                <w:bCs/>
                <w:sz w:val="20"/>
                <w:szCs w:val="20"/>
              </w:rPr>
              <w:t xml:space="preserve"> </w:t>
            </w:r>
            <w:r w:rsidRPr="00A72B35">
              <w:rPr>
                <w:rFonts w:ascii="Arial" w:hAnsi="Arial" w:cs="Arial"/>
                <w:bCs/>
                <w:sz w:val="20"/>
                <w:szCs w:val="20"/>
              </w:rPr>
              <w:t xml:space="preserve">the total number of people/ total amount of government medical assistance </w:t>
            </w:r>
            <w:r w:rsidR="00161542">
              <w:rPr>
                <w:rFonts w:ascii="Arial" w:hAnsi="Arial" w:cs="Arial"/>
                <w:bCs/>
                <w:sz w:val="20"/>
                <w:szCs w:val="20"/>
              </w:rPr>
              <w:t>among the</w:t>
            </w:r>
            <w:r w:rsidR="00161542" w:rsidRPr="00A72B35">
              <w:rPr>
                <w:rFonts w:ascii="Arial" w:hAnsi="Arial" w:cs="Arial"/>
                <w:bCs/>
                <w:sz w:val="20"/>
                <w:szCs w:val="20"/>
              </w:rPr>
              <w:t xml:space="preserve"> </w:t>
            </w:r>
            <w:r w:rsidRPr="00A72B35">
              <w:rPr>
                <w:rFonts w:ascii="Arial" w:hAnsi="Arial" w:cs="Arial"/>
                <w:bCs/>
                <w:sz w:val="20"/>
                <w:szCs w:val="20"/>
              </w:rPr>
              <w:t>people who obtain the minimum living security, the extremely poor or low-income people.</w:t>
            </w:r>
          </w:p>
        </w:tc>
      </w:tr>
      <w:tr w:rsidR="00551F05" w:rsidRPr="00A72B35" w14:paraId="052116D6" w14:textId="77777777" w:rsidTr="00A97F2F">
        <w:tc>
          <w:tcPr>
            <w:tcW w:w="3403" w:type="dxa"/>
            <w:shd w:val="clear" w:color="auto" w:fill="auto"/>
          </w:tcPr>
          <w:p w14:paraId="7E76455C"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1A4FDEBF" w14:textId="10785DCA"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4. Can the hospitalization rate be included in the indicator system, because </w:t>
            </w:r>
            <w:r w:rsidR="00652806">
              <w:rPr>
                <w:rFonts w:ascii="Arial" w:hAnsi="Arial" w:cs="Arial"/>
                <w:bCs/>
                <w:sz w:val="20"/>
                <w:szCs w:val="20"/>
              </w:rPr>
              <w:t xml:space="preserve">if people are </w:t>
            </w:r>
            <w:r w:rsidRPr="00A72B35">
              <w:rPr>
                <w:rFonts w:ascii="Arial" w:hAnsi="Arial" w:cs="Arial"/>
                <w:bCs/>
                <w:sz w:val="20"/>
                <w:szCs w:val="20"/>
              </w:rPr>
              <w:t>health</w:t>
            </w:r>
            <w:r w:rsidR="00652806">
              <w:rPr>
                <w:rFonts w:ascii="Arial" w:hAnsi="Arial" w:cs="Arial"/>
                <w:bCs/>
                <w:sz w:val="20"/>
                <w:szCs w:val="20"/>
              </w:rPr>
              <w:t>y</w:t>
            </w:r>
            <w:r w:rsidRPr="00A72B35">
              <w:rPr>
                <w:rFonts w:ascii="Arial" w:hAnsi="Arial" w:cs="Arial"/>
                <w:bCs/>
                <w:sz w:val="20"/>
                <w:szCs w:val="20"/>
              </w:rPr>
              <w:t xml:space="preserve">, </w:t>
            </w:r>
            <w:r w:rsidR="00652806">
              <w:rPr>
                <w:rFonts w:ascii="Arial" w:hAnsi="Arial" w:cs="Arial"/>
                <w:bCs/>
                <w:sz w:val="20"/>
                <w:szCs w:val="20"/>
              </w:rPr>
              <w:t xml:space="preserve">then they are </w:t>
            </w:r>
            <w:r w:rsidRPr="00A72B35">
              <w:rPr>
                <w:rFonts w:ascii="Arial" w:hAnsi="Arial" w:cs="Arial"/>
                <w:bCs/>
                <w:sz w:val="20"/>
                <w:szCs w:val="20"/>
              </w:rPr>
              <w:t>less likely be hospitalized</w:t>
            </w:r>
            <w:r w:rsidR="00652806">
              <w:rPr>
                <w:rFonts w:ascii="Arial" w:hAnsi="Arial" w:cs="Arial"/>
                <w:bCs/>
                <w:sz w:val="20"/>
                <w:szCs w:val="20"/>
              </w:rPr>
              <w:t>?</w:t>
            </w:r>
            <w:r w:rsidRPr="00A72B35">
              <w:rPr>
                <w:rFonts w:ascii="Arial" w:hAnsi="Arial" w:cs="Arial"/>
                <w:bCs/>
                <w:sz w:val="20"/>
                <w:szCs w:val="20"/>
              </w:rPr>
              <w:t xml:space="preserve"> Can this indicator reflect </w:t>
            </w:r>
            <w:r w:rsidR="00652806">
              <w:rPr>
                <w:rFonts w:ascii="Arial" w:hAnsi="Arial" w:cs="Arial"/>
                <w:bCs/>
                <w:sz w:val="20"/>
                <w:szCs w:val="20"/>
              </w:rPr>
              <w:t xml:space="preserve">the </w:t>
            </w:r>
            <w:r w:rsidR="00652806" w:rsidRPr="00A72B35">
              <w:rPr>
                <w:rFonts w:ascii="Arial" w:hAnsi="Arial" w:cs="Arial"/>
                <w:bCs/>
                <w:sz w:val="20"/>
                <w:szCs w:val="20"/>
              </w:rPr>
              <w:t xml:space="preserve">level </w:t>
            </w:r>
            <w:r w:rsidR="00652806">
              <w:rPr>
                <w:rFonts w:ascii="Arial" w:hAnsi="Arial" w:cs="Arial"/>
                <w:bCs/>
                <w:sz w:val="20"/>
                <w:szCs w:val="20"/>
              </w:rPr>
              <w:t xml:space="preserve">of </w:t>
            </w:r>
            <w:r w:rsidRPr="00A72B35">
              <w:rPr>
                <w:rFonts w:ascii="Arial" w:hAnsi="Arial" w:cs="Arial"/>
                <w:bCs/>
                <w:sz w:val="20"/>
                <w:szCs w:val="20"/>
              </w:rPr>
              <w:t>health?</w:t>
            </w:r>
          </w:p>
        </w:tc>
      </w:tr>
      <w:tr w:rsidR="00551F05" w:rsidRPr="00A72B35" w14:paraId="53A31106" w14:textId="77777777" w:rsidTr="00A97F2F">
        <w:tc>
          <w:tcPr>
            <w:tcW w:w="3403" w:type="dxa"/>
            <w:shd w:val="clear" w:color="auto" w:fill="auto"/>
          </w:tcPr>
          <w:p w14:paraId="6175D43A" w14:textId="77777777" w:rsidR="00551F05" w:rsidRPr="00A72B35" w:rsidRDefault="00551F05" w:rsidP="00861B37">
            <w:pPr>
              <w:spacing w:line="480" w:lineRule="auto"/>
              <w:rPr>
                <w:rFonts w:ascii="Arial" w:hAnsi="Arial" w:cs="Arial"/>
                <w:bCs/>
                <w:sz w:val="20"/>
                <w:szCs w:val="20"/>
              </w:rPr>
            </w:pPr>
          </w:p>
        </w:tc>
        <w:tc>
          <w:tcPr>
            <w:tcW w:w="6945" w:type="dxa"/>
            <w:shd w:val="clear" w:color="auto" w:fill="auto"/>
          </w:tcPr>
          <w:p w14:paraId="005B8FAA" w14:textId="191562FE"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5. The environmental factors affecting human health mainly include air, water</w:t>
            </w:r>
            <w:r w:rsidR="00652806">
              <w:rPr>
                <w:rFonts w:ascii="Arial" w:hAnsi="Arial" w:cs="Arial"/>
                <w:bCs/>
                <w:sz w:val="20"/>
                <w:szCs w:val="20"/>
              </w:rPr>
              <w:t>,</w:t>
            </w:r>
            <w:r w:rsidRPr="00A72B35">
              <w:rPr>
                <w:rFonts w:ascii="Arial" w:hAnsi="Arial" w:cs="Arial"/>
                <w:bCs/>
                <w:sz w:val="20"/>
                <w:szCs w:val="20"/>
              </w:rPr>
              <w:t xml:space="preserve"> and soil quality. The indicator system has involved air and water</w:t>
            </w:r>
            <w:r w:rsidR="00652806">
              <w:rPr>
                <w:rFonts w:ascii="Arial" w:hAnsi="Arial" w:cs="Arial"/>
                <w:bCs/>
                <w:sz w:val="20"/>
                <w:szCs w:val="20"/>
              </w:rPr>
              <w:t>-</w:t>
            </w:r>
            <w:r w:rsidRPr="00A72B35">
              <w:rPr>
                <w:rFonts w:ascii="Arial" w:hAnsi="Arial" w:cs="Arial"/>
                <w:bCs/>
                <w:sz w:val="20"/>
                <w:szCs w:val="20"/>
              </w:rPr>
              <w:t>related indicator</w:t>
            </w:r>
            <w:r w:rsidR="00652806">
              <w:rPr>
                <w:rFonts w:ascii="Arial" w:hAnsi="Arial" w:cs="Arial"/>
                <w:bCs/>
                <w:sz w:val="20"/>
                <w:szCs w:val="20"/>
              </w:rPr>
              <w:t>s</w:t>
            </w:r>
            <w:r w:rsidRPr="00A72B35">
              <w:rPr>
                <w:rFonts w:ascii="Arial" w:hAnsi="Arial" w:cs="Arial"/>
                <w:bCs/>
                <w:sz w:val="20"/>
                <w:szCs w:val="20"/>
              </w:rPr>
              <w:t xml:space="preserve"> and </w:t>
            </w:r>
            <w:r w:rsidR="00652806">
              <w:rPr>
                <w:rFonts w:ascii="Arial" w:hAnsi="Arial" w:cs="Arial"/>
                <w:bCs/>
                <w:sz w:val="20"/>
                <w:szCs w:val="20"/>
              </w:rPr>
              <w:t xml:space="preserve">such a indicator system </w:t>
            </w:r>
            <w:r w:rsidRPr="00A72B35">
              <w:rPr>
                <w:rFonts w:ascii="Arial" w:hAnsi="Arial" w:cs="Arial"/>
                <w:bCs/>
                <w:sz w:val="20"/>
                <w:szCs w:val="20"/>
              </w:rPr>
              <w:t>could select the safe utilization rate of contaminated plots as the soil indicator.</w:t>
            </w:r>
          </w:p>
        </w:tc>
      </w:tr>
      <w:tr w:rsidR="00551F05" w:rsidRPr="00A72B35" w14:paraId="2FA40AC8" w14:textId="77777777" w:rsidTr="00A97F2F">
        <w:tc>
          <w:tcPr>
            <w:tcW w:w="3403" w:type="dxa"/>
            <w:shd w:val="clear" w:color="auto" w:fill="auto"/>
          </w:tcPr>
          <w:p w14:paraId="31D0E9B9"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The classifications of second-level indicators need adjustment.</w:t>
            </w:r>
          </w:p>
        </w:tc>
        <w:tc>
          <w:tcPr>
            <w:tcW w:w="6945" w:type="dxa"/>
            <w:shd w:val="clear" w:color="auto" w:fill="auto"/>
          </w:tcPr>
          <w:p w14:paraId="36A33E91" w14:textId="13D5C00F"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1. The classification of health service can refer to the classification of national basic public health service</w:t>
            </w:r>
            <w:r w:rsidR="00652806">
              <w:rPr>
                <w:rFonts w:ascii="Arial" w:hAnsi="Arial" w:cs="Arial"/>
                <w:bCs/>
                <w:sz w:val="20"/>
                <w:szCs w:val="20"/>
              </w:rPr>
              <w:t>s</w:t>
            </w:r>
            <w:r w:rsidRPr="00A72B35">
              <w:rPr>
                <w:rFonts w:ascii="Arial" w:hAnsi="Arial" w:cs="Arial"/>
                <w:bCs/>
                <w:sz w:val="20"/>
                <w:szCs w:val="20"/>
              </w:rPr>
              <w:t>: health file management services, vaccination services, health management services for key populations, health management services for patients with chronic disease, and management services for patients with severe mental disorders.</w:t>
            </w:r>
          </w:p>
        </w:tc>
      </w:tr>
      <w:tr w:rsidR="00551F05" w:rsidRPr="00A72B35" w14:paraId="4F4B1599" w14:textId="77777777" w:rsidTr="00A97F2F">
        <w:tc>
          <w:tcPr>
            <w:tcW w:w="3403" w:type="dxa"/>
            <w:shd w:val="clear" w:color="auto" w:fill="auto"/>
          </w:tcPr>
          <w:p w14:paraId="433E66C9"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Characteristic indicators</w:t>
            </w:r>
          </w:p>
        </w:tc>
        <w:tc>
          <w:tcPr>
            <w:tcW w:w="6945" w:type="dxa"/>
            <w:shd w:val="clear" w:color="auto" w:fill="auto"/>
          </w:tcPr>
          <w:p w14:paraId="4BF9F57A" w14:textId="07B1B76C"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The number of massive (national and above) national fitness activities </w:t>
            </w:r>
            <w:r w:rsidR="00652806">
              <w:rPr>
                <w:rFonts w:ascii="Arial" w:hAnsi="Arial" w:cs="Arial"/>
                <w:bCs/>
                <w:sz w:val="20"/>
                <w:szCs w:val="20"/>
              </w:rPr>
              <w:t xml:space="preserve">held </w:t>
            </w:r>
            <w:r w:rsidRPr="00A72B35">
              <w:rPr>
                <w:rFonts w:ascii="Arial" w:hAnsi="Arial" w:cs="Arial"/>
                <w:bCs/>
                <w:sz w:val="20"/>
                <w:szCs w:val="20"/>
              </w:rPr>
              <w:t>annual</w:t>
            </w:r>
            <w:r w:rsidR="00652806">
              <w:rPr>
                <w:rFonts w:ascii="Arial" w:hAnsi="Arial" w:cs="Arial"/>
                <w:bCs/>
                <w:sz w:val="20"/>
                <w:szCs w:val="20"/>
              </w:rPr>
              <w:t>ly</w:t>
            </w:r>
            <w:r w:rsidRPr="00A72B35">
              <w:rPr>
                <w:rFonts w:ascii="Arial" w:hAnsi="Arial" w:cs="Arial"/>
                <w:bCs/>
                <w:sz w:val="20"/>
                <w:szCs w:val="20"/>
              </w:rPr>
              <w:t xml:space="preserve"> could be considered as a characteristic indicator.</w:t>
            </w:r>
          </w:p>
        </w:tc>
      </w:tr>
    </w:tbl>
    <w:p w14:paraId="124E4FE6" w14:textId="77777777" w:rsidR="00551F05" w:rsidRPr="00A72B35" w:rsidRDefault="00551F05" w:rsidP="00861B37">
      <w:pPr>
        <w:spacing w:line="480" w:lineRule="auto"/>
        <w:rPr>
          <w:rFonts w:ascii="Arial" w:hAnsi="Arial" w:cs="Arial"/>
          <w:b/>
          <w:sz w:val="20"/>
          <w:szCs w:val="20"/>
        </w:rPr>
      </w:pPr>
    </w:p>
    <w:p w14:paraId="615BEB4B" w14:textId="77777777" w:rsidR="00551F05" w:rsidRPr="00A72B35" w:rsidRDefault="00551F05" w:rsidP="00861B37">
      <w:pPr>
        <w:spacing w:line="480" w:lineRule="auto"/>
        <w:rPr>
          <w:rFonts w:ascii="Arial" w:hAnsi="Arial" w:cs="Arial"/>
          <w:b/>
          <w:sz w:val="20"/>
          <w:szCs w:val="20"/>
        </w:rPr>
      </w:pPr>
    </w:p>
    <w:p w14:paraId="29C750AB"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Appendix </w:t>
      </w:r>
      <w:r w:rsidRPr="00A72B35">
        <w:rPr>
          <w:rFonts w:ascii="Arial" w:eastAsia="宋体" w:hAnsi="Arial" w:cs="Arial"/>
          <w:b/>
          <w:sz w:val="20"/>
          <w:szCs w:val="20"/>
        </w:rPr>
        <w:t>D</w:t>
      </w:r>
    </w:p>
    <w:p w14:paraId="5E6E6F22"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Recommendations from experts in the second round of focus group discussions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551F05" w:rsidRPr="00A72B35" w14:paraId="2B27F4D1" w14:textId="77777777" w:rsidTr="00A97F2F">
        <w:tc>
          <w:tcPr>
            <w:tcW w:w="2977" w:type="dxa"/>
            <w:shd w:val="clear" w:color="auto" w:fill="auto"/>
          </w:tcPr>
          <w:p w14:paraId="4DAA6256"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Key points</w:t>
            </w:r>
          </w:p>
        </w:tc>
        <w:tc>
          <w:tcPr>
            <w:tcW w:w="7371" w:type="dxa"/>
            <w:shd w:val="clear" w:color="auto" w:fill="auto"/>
          </w:tcPr>
          <w:p w14:paraId="1C8B682B"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Detailed suggestions and opinions</w:t>
            </w:r>
          </w:p>
        </w:tc>
      </w:tr>
      <w:tr w:rsidR="00551F05" w:rsidRPr="00A72B35" w14:paraId="1EA89631" w14:textId="77777777" w:rsidTr="00A97F2F">
        <w:tc>
          <w:tcPr>
            <w:tcW w:w="2977" w:type="dxa"/>
            <w:shd w:val="clear" w:color="auto" w:fill="auto"/>
          </w:tcPr>
          <w:p w14:paraId="36E7BC6F"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Deleted indicators </w:t>
            </w:r>
          </w:p>
          <w:p w14:paraId="7334C53D" w14:textId="77777777" w:rsidR="00551F05" w:rsidRPr="00A72B35" w:rsidRDefault="00551F05" w:rsidP="00861B37">
            <w:pPr>
              <w:spacing w:line="480" w:lineRule="auto"/>
              <w:rPr>
                <w:rFonts w:ascii="Arial" w:hAnsi="Arial" w:cs="Arial"/>
                <w:bCs/>
                <w:sz w:val="20"/>
                <w:szCs w:val="20"/>
              </w:rPr>
            </w:pPr>
          </w:p>
        </w:tc>
        <w:tc>
          <w:tcPr>
            <w:tcW w:w="7371" w:type="dxa"/>
            <w:shd w:val="clear" w:color="auto" w:fill="auto"/>
          </w:tcPr>
          <w:p w14:paraId="4A7FA9F9" w14:textId="7036F849"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1. </w:t>
            </w:r>
            <w:r w:rsidR="00652806">
              <w:rPr>
                <w:rFonts w:ascii="Arial" w:hAnsi="Arial" w:cs="Arial"/>
                <w:bCs/>
                <w:sz w:val="20"/>
                <w:szCs w:val="20"/>
              </w:rPr>
              <w:t>D</w:t>
            </w:r>
            <w:r w:rsidRPr="00A72B35">
              <w:rPr>
                <w:rFonts w:ascii="Arial" w:hAnsi="Arial" w:cs="Arial"/>
                <w:bCs/>
                <w:sz w:val="20"/>
                <w:szCs w:val="20"/>
              </w:rPr>
              <w:t>elet</w:t>
            </w:r>
            <w:r w:rsidR="00652806">
              <w:rPr>
                <w:rFonts w:ascii="Arial" w:hAnsi="Arial" w:cs="Arial"/>
                <w:bCs/>
                <w:sz w:val="20"/>
                <w:szCs w:val="20"/>
              </w:rPr>
              <w:t xml:space="preserve">ing </w:t>
            </w:r>
            <w:r w:rsidRPr="00A72B35">
              <w:rPr>
                <w:rFonts w:ascii="Arial" w:hAnsi="Arial" w:cs="Arial"/>
                <w:bCs/>
                <w:sz w:val="20"/>
                <w:szCs w:val="20"/>
              </w:rPr>
              <w:t xml:space="preserve">the </w:t>
            </w:r>
            <w:r w:rsidR="008A6080">
              <w:rPr>
                <w:rFonts w:ascii="Arial" w:hAnsi="Arial" w:cs="Arial"/>
                <w:bCs/>
                <w:sz w:val="20"/>
                <w:szCs w:val="20"/>
              </w:rPr>
              <w:t xml:space="preserve">following </w:t>
            </w:r>
            <w:r w:rsidRPr="00A72B35">
              <w:rPr>
                <w:rFonts w:ascii="Arial" w:hAnsi="Arial" w:cs="Arial"/>
                <w:bCs/>
                <w:sz w:val="20"/>
                <w:szCs w:val="20"/>
              </w:rPr>
              <w:t>indicators</w:t>
            </w:r>
            <w:r w:rsidR="008A6080">
              <w:rPr>
                <w:rFonts w:ascii="Arial" w:hAnsi="Arial" w:cs="Arial"/>
                <w:bCs/>
                <w:sz w:val="20"/>
                <w:szCs w:val="20"/>
              </w:rPr>
              <w:t xml:space="preserve"> is recommend due to the low feasibility</w:t>
            </w:r>
            <w:r w:rsidRPr="00A72B35">
              <w:rPr>
                <w:rFonts w:ascii="Arial" w:hAnsi="Arial" w:cs="Arial"/>
                <w:bCs/>
                <w:sz w:val="20"/>
                <w:szCs w:val="20"/>
              </w:rPr>
              <w:t>: daily salt intake per capita</w:t>
            </w:r>
            <w:r w:rsidR="008A6080">
              <w:rPr>
                <w:rFonts w:ascii="Arial" w:hAnsi="Arial" w:cs="Arial"/>
                <w:bCs/>
                <w:sz w:val="20"/>
                <w:szCs w:val="20"/>
              </w:rPr>
              <w:t xml:space="preserve"> and banning</w:t>
            </w:r>
            <w:r w:rsidRPr="00A72B35">
              <w:rPr>
                <w:rFonts w:ascii="Arial" w:hAnsi="Arial" w:cs="Arial"/>
                <w:bCs/>
                <w:sz w:val="20"/>
                <w:szCs w:val="20"/>
              </w:rPr>
              <w:t xml:space="preserve"> </w:t>
            </w:r>
            <w:r w:rsidR="008A6080">
              <w:rPr>
                <w:rFonts w:ascii="Arial" w:hAnsi="Arial" w:cs="Arial"/>
                <w:bCs/>
                <w:sz w:val="20"/>
                <w:szCs w:val="20"/>
              </w:rPr>
              <w:t>of s</w:t>
            </w:r>
            <w:r w:rsidRPr="00A72B35">
              <w:rPr>
                <w:rFonts w:ascii="Arial" w:hAnsi="Arial" w:cs="Arial"/>
                <w:bCs/>
                <w:sz w:val="20"/>
                <w:szCs w:val="20"/>
              </w:rPr>
              <w:t xml:space="preserve">moking and tobacco advertising in all indoor </w:t>
            </w:r>
            <w:r w:rsidRPr="00A72B35">
              <w:rPr>
                <w:rFonts w:ascii="Arial" w:hAnsi="Arial" w:cs="Arial"/>
                <w:bCs/>
                <w:sz w:val="20"/>
                <w:szCs w:val="20"/>
              </w:rPr>
              <w:lastRenderedPageBreak/>
              <w:t>public places, workplaces</w:t>
            </w:r>
            <w:r w:rsidR="008A6080">
              <w:rPr>
                <w:rFonts w:ascii="Arial" w:hAnsi="Arial" w:cs="Arial"/>
                <w:bCs/>
                <w:sz w:val="20"/>
                <w:szCs w:val="20"/>
              </w:rPr>
              <w:t>,</w:t>
            </w:r>
            <w:r w:rsidRPr="00A72B35">
              <w:rPr>
                <w:rFonts w:ascii="Arial" w:hAnsi="Arial" w:cs="Arial"/>
                <w:bCs/>
                <w:sz w:val="20"/>
                <w:szCs w:val="20"/>
              </w:rPr>
              <w:t xml:space="preserve"> and public transport. </w:t>
            </w:r>
          </w:p>
        </w:tc>
      </w:tr>
      <w:tr w:rsidR="00551F05" w:rsidRPr="00A72B35" w14:paraId="7A7C3ABC" w14:textId="77777777" w:rsidTr="00A97F2F">
        <w:tc>
          <w:tcPr>
            <w:tcW w:w="2977" w:type="dxa"/>
            <w:shd w:val="clear" w:color="auto" w:fill="auto"/>
          </w:tcPr>
          <w:p w14:paraId="44969C62" w14:textId="77777777" w:rsidR="00551F05" w:rsidRPr="00A72B35" w:rsidRDefault="00551F05" w:rsidP="00861B37">
            <w:pPr>
              <w:spacing w:line="480" w:lineRule="auto"/>
              <w:rPr>
                <w:rFonts w:ascii="Arial" w:hAnsi="Arial" w:cs="Arial"/>
                <w:bCs/>
                <w:sz w:val="20"/>
                <w:szCs w:val="20"/>
              </w:rPr>
            </w:pPr>
          </w:p>
        </w:tc>
        <w:tc>
          <w:tcPr>
            <w:tcW w:w="7371" w:type="dxa"/>
            <w:shd w:val="clear" w:color="auto" w:fill="auto"/>
          </w:tcPr>
          <w:p w14:paraId="60FA397C" w14:textId="5B1B1C2E"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2. As the limited development of Healthy Cell Engineering, </w:t>
            </w:r>
            <w:r w:rsidR="008A6080">
              <w:rPr>
                <w:rFonts w:ascii="Arial" w:hAnsi="Arial" w:cs="Arial"/>
                <w:bCs/>
                <w:sz w:val="20"/>
                <w:szCs w:val="20"/>
              </w:rPr>
              <w:t xml:space="preserve">the </w:t>
            </w:r>
            <w:r w:rsidRPr="00A72B35">
              <w:rPr>
                <w:rFonts w:ascii="Arial" w:hAnsi="Arial" w:cs="Arial"/>
                <w:bCs/>
                <w:sz w:val="20"/>
                <w:szCs w:val="20"/>
              </w:rPr>
              <w:t>coverage rate</w:t>
            </w:r>
            <w:r w:rsidR="008A6080">
              <w:rPr>
                <w:rFonts w:ascii="Arial" w:hAnsi="Arial" w:cs="Arial"/>
                <w:bCs/>
                <w:sz w:val="20"/>
                <w:szCs w:val="20"/>
              </w:rPr>
              <w:t>s</w:t>
            </w:r>
            <w:r w:rsidRPr="00A72B35">
              <w:rPr>
                <w:rFonts w:ascii="Arial" w:hAnsi="Arial" w:cs="Arial"/>
                <w:bCs/>
                <w:sz w:val="20"/>
                <w:szCs w:val="20"/>
              </w:rPr>
              <w:t xml:space="preserve"> of healthy school, healthy community</w:t>
            </w:r>
            <w:r w:rsidR="008A6080">
              <w:rPr>
                <w:rFonts w:ascii="Arial" w:hAnsi="Arial" w:cs="Arial"/>
                <w:bCs/>
                <w:sz w:val="20"/>
                <w:szCs w:val="20"/>
              </w:rPr>
              <w:t>,</w:t>
            </w:r>
            <w:r w:rsidRPr="00A72B35">
              <w:rPr>
                <w:rFonts w:ascii="Arial" w:hAnsi="Arial" w:cs="Arial"/>
                <w:bCs/>
                <w:sz w:val="20"/>
                <w:szCs w:val="20"/>
              </w:rPr>
              <w:t xml:space="preserve"> and healthy enterprise </w:t>
            </w:r>
            <w:r w:rsidR="008A6080">
              <w:rPr>
                <w:rFonts w:ascii="Arial" w:hAnsi="Arial" w:cs="Arial"/>
                <w:bCs/>
                <w:sz w:val="20"/>
                <w:szCs w:val="20"/>
              </w:rPr>
              <w:t>may be</w:t>
            </w:r>
            <w:r w:rsidR="008A6080" w:rsidRPr="00A72B35">
              <w:rPr>
                <w:rFonts w:ascii="Arial" w:hAnsi="Arial" w:cs="Arial"/>
                <w:bCs/>
                <w:sz w:val="20"/>
                <w:szCs w:val="20"/>
              </w:rPr>
              <w:t xml:space="preserve"> </w:t>
            </w:r>
            <w:r w:rsidRPr="00A72B35">
              <w:rPr>
                <w:rFonts w:ascii="Arial" w:hAnsi="Arial" w:cs="Arial"/>
                <w:bCs/>
                <w:sz w:val="20"/>
                <w:szCs w:val="20"/>
              </w:rPr>
              <w:t>deleted.</w:t>
            </w:r>
          </w:p>
        </w:tc>
      </w:tr>
      <w:tr w:rsidR="00551F05" w:rsidRPr="00A72B35" w14:paraId="5CAAB4BF" w14:textId="77777777" w:rsidTr="00A97F2F">
        <w:tc>
          <w:tcPr>
            <w:tcW w:w="2977" w:type="dxa"/>
            <w:shd w:val="clear" w:color="auto" w:fill="auto"/>
          </w:tcPr>
          <w:p w14:paraId="0AE645B2" w14:textId="77777777" w:rsidR="00551F05" w:rsidRPr="00A72B35" w:rsidRDefault="00551F05" w:rsidP="00861B37">
            <w:pPr>
              <w:spacing w:line="480" w:lineRule="auto"/>
              <w:rPr>
                <w:rFonts w:ascii="Arial" w:hAnsi="Arial" w:cs="Arial"/>
                <w:bCs/>
                <w:sz w:val="20"/>
                <w:szCs w:val="20"/>
              </w:rPr>
            </w:pPr>
          </w:p>
        </w:tc>
        <w:tc>
          <w:tcPr>
            <w:tcW w:w="7371" w:type="dxa"/>
            <w:shd w:val="clear" w:color="auto" w:fill="auto"/>
          </w:tcPr>
          <w:p w14:paraId="3F0C79D5" w14:textId="517E683E" w:rsidR="00551F05" w:rsidRPr="00A72B35" w:rsidRDefault="00551F05" w:rsidP="00861B37">
            <w:pPr>
              <w:spacing w:line="480" w:lineRule="auto"/>
              <w:rPr>
                <w:rFonts w:ascii="Arial" w:hAnsi="Arial" w:cs="Arial"/>
                <w:bCs/>
                <w:sz w:val="20"/>
                <w:szCs w:val="20"/>
              </w:rPr>
            </w:pPr>
            <w:bookmarkStart w:id="4" w:name="_Hlk14342698"/>
            <w:r w:rsidRPr="00A72B35">
              <w:rPr>
                <w:rFonts w:ascii="Arial" w:hAnsi="Arial" w:cs="Arial"/>
                <w:bCs/>
                <w:sz w:val="20"/>
                <w:szCs w:val="20"/>
              </w:rPr>
              <w:t>3. “Configuration of full-time and part-time school doctors”</w:t>
            </w:r>
            <w:r w:rsidR="008A6080">
              <w:rPr>
                <w:rFonts w:ascii="Arial" w:hAnsi="Arial" w:cs="Arial"/>
                <w:bCs/>
                <w:sz w:val="20"/>
                <w:szCs w:val="20"/>
              </w:rPr>
              <w:t>:</w:t>
            </w:r>
            <w:r w:rsidRPr="00A72B35">
              <w:rPr>
                <w:rFonts w:ascii="Arial" w:hAnsi="Arial" w:cs="Arial"/>
                <w:bCs/>
                <w:sz w:val="20"/>
                <w:szCs w:val="20"/>
              </w:rPr>
              <w:t xml:space="preserve"> This indicator is unnecessary because many schools do not meet the requirements for the configuration of full-time school doctors (one school doctor per 600 students</w:t>
            </w:r>
            <w:r w:rsidR="00752CA5">
              <w:rPr>
                <w:rFonts w:ascii="Arial" w:hAnsi="Arial" w:cs="Arial"/>
                <w:bCs/>
                <w:sz w:val="20"/>
                <w:szCs w:val="20"/>
              </w:rPr>
              <w:t xml:space="preserve"> </w:t>
            </w:r>
            <w:r w:rsidR="00752CA5" w:rsidRPr="00A72B35">
              <w:rPr>
                <w:rFonts w:ascii="Arial" w:hAnsi="Arial" w:cs="Arial"/>
                <w:bCs/>
                <w:sz w:val="20"/>
                <w:szCs w:val="20"/>
              </w:rPr>
              <w:t>i</w:t>
            </w:r>
            <w:r w:rsidR="00752CA5">
              <w:rPr>
                <w:rFonts w:ascii="Arial" w:hAnsi="Arial" w:cs="Arial"/>
                <w:bCs/>
                <w:sz w:val="20"/>
                <w:szCs w:val="20"/>
              </w:rPr>
              <w:t>s</w:t>
            </w:r>
            <w:r w:rsidR="00752CA5" w:rsidRPr="00A72B35">
              <w:rPr>
                <w:rFonts w:ascii="Arial" w:hAnsi="Arial" w:cs="Arial"/>
                <w:bCs/>
                <w:sz w:val="20"/>
                <w:szCs w:val="20"/>
              </w:rPr>
              <w:t xml:space="preserve"> require</w:t>
            </w:r>
            <w:r w:rsidR="00752CA5">
              <w:rPr>
                <w:rFonts w:ascii="Arial" w:hAnsi="Arial" w:cs="Arial"/>
                <w:bCs/>
                <w:sz w:val="20"/>
                <w:szCs w:val="20"/>
              </w:rPr>
              <w:t>d</w:t>
            </w:r>
            <w:r w:rsidRPr="00A72B35">
              <w:rPr>
                <w:rFonts w:ascii="Arial" w:hAnsi="Arial" w:cs="Arial"/>
                <w:bCs/>
                <w:sz w:val="20"/>
                <w:szCs w:val="20"/>
              </w:rPr>
              <w:t>). The current proposal is that the school signs a contract with the health service center where it is located, and asks the doctors of the community health service center to perform the duties of the school doctor.</w:t>
            </w:r>
            <w:bookmarkEnd w:id="4"/>
          </w:p>
        </w:tc>
      </w:tr>
      <w:tr w:rsidR="00551F05" w:rsidRPr="00A72B35" w14:paraId="3263BFE5" w14:textId="77777777" w:rsidTr="00A97F2F">
        <w:tc>
          <w:tcPr>
            <w:tcW w:w="2977" w:type="dxa"/>
            <w:shd w:val="clear" w:color="auto" w:fill="auto"/>
          </w:tcPr>
          <w:p w14:paraId="1BE4F175" w14:textId="77777777" w:rsidR="00551F05" w:rsidRPr="00A72B35" w:rsidRDefault="00551F05" w:rsidP="00861B37">
            <w:pPr>
              <w:spacing w:line="480" w:lineRule="auto"/>
              <w:rPr>
                <w:rFonts w:ascii="Arial" w:hAnsi="Arial" w:cs="Arial"/>
                <w:bCs/>
                <w:sz w:val="20"/>
                <w:szCs w:val="20"/>
              </w:rPr>
            </w:pPr>
          </w:p>
        </w:tc>
        <w:tc>
          <w:tcPr>
            <w:tcW w:w="7371" w:type="dxa"/>
            <w:shd w:val="clear" w:color="auto" w:fill="auto"/>
          </w:tcPr>
          <w:p w14:paraId="390FE8D3" w14:textId="2F9A6C6B"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4. “Hospitalization rate in local urban areas”</w:t>
            </w:r>
            <w:r w:rsidR="00752CA5" w:rsidRPr="00A72B35">
              <w:rPr>
                <w:rFonts w:ascii="Arial" w:hAnsi="Arial" w:cs="Arial"/>
                <w:bCs/>
                <w:sz w:val="20"/>
                <w:szCs w:val="20"/>
              </w:rPr>
              <w:t xml:space="preserve"> cannot </w:t>
            </w:r>
            <w:r w:rsidR="00752CA5">
              <w:rPr>
                <w:rFonts w:ascii="Arial" w:hAnsi="Arial" w:cs="Arial"/>
                <w:bCs/>
                <w:sz w:val="20"/>
                <w:szCs w:val="20"/>
              </w:rPr>
              <w:t xml:space="preserve">be </w:t>
            </w:r>
            <w:r w:rsidR="00752CA5" w:rsidRPr="00A72B35">
              <w:rPr>
                <w:rFonts w:ascii="Arial" w:hAnsi="Arial" w:cs="Arial"/>
                <w:bCs/>
                <w:sz w:val="20"/>
                <w:szCs w:val="20"/>
              </w:rPr>
              <w:t>calculate</w:t>
            </w:r>
            <w:r w:rsidR="00752CA5">
              <w:rPr>
                <w:rFonts w:ascii="Arial" w:hAnsi="Arial" w:cs="Arial"/>
                <w:bCs/>
                <w:sz w:val="20"/>
                <w:szCs w:val="20"/>
              </w:rPr>
              <w:t>d based on local data</w:t>
            </w:r>
            <w:r w:rsidRPr="00A72B35">
              <w:rPr>
                <w:rFonts w:ascii="Arial" w:hAnsi="Arial" w:cs="Arial"/>
                <w:bCs/>
                <w:sz w:val="20"/>
                <w:szCs w:val="20"/>
              </w:rPr>
              <w:t xml:space="preserve"> </w:t>
            </w:r>
            <w:r w:rsidR="00752CA5">
              <w:rPr>
                <w:rFonts w:ascii="Arial" w:hAnsi="Arial" w:cs="Arial"/>
                <w:bCs/>
                <w:sz w:val="20"/>
                <w:szCs w:val="20"/>
              </w:rPr>
              <w:t>b</w:t>
            </w:r>
            <w:r w:rsidRPr="00A72B35">
              <w:rPr>
                <w:rFonts w:ascii="Arial" w:hAnsi="Arial" w:cs="Arial"/>
                <w:bCs/>
                <w:sz w:val="20"/>
                <w:szCs w:val="20"/>
              </w:rPr>
              <w:t xml:space="preserve">ecause </w:t>
            </w:r>
            <w:r w:rsidR="00752CA5">
              <w:rPr>
                <w:rFonts w:ascii="Arial" w:hAnsi="Arial" w:cs="Arial"/>
                <w:bCs/>
                <w:sz w:val="20"/>
                <w:szCs w:val="20"/>
              </w:rPr>
              <w:t xml:space="preserve">of </w:t>
            </w:r>
            <w:r w:rsidRPr="00A72B35">
              <w:rPr>
                <w:rFonts w:ascii="Arial" w:hAnsi="Arial" w:cs="Arial"/>
                <w:bCs/>
                <w:sz w:val="20"/>
                <w:szCs w:val="20"/>
              </w:rPr>
              <w:t xml:space="preserve">the </w:t>
            </w:r>
            <w:r w:rsidR="00752CA5">
              <w:rPr>
                <w:rFonts w:ascii="Arial" w:hAnsi="Arial" w:cs="Arial"/>
                <w:bCs/>
                <w:sz w:val="20"/>
                <w:szCs w:val="20"/>
              </w:rPr>
              <w:t xml:space="preserve">constant </w:t>
            </w:r>
            <w:r w:rsidRPr="00A72B35">
              <w:rPr>
                <w:rFonts w:ascii="Arial" w:hAnsi="Arial" w:cs="Arial"/>
                <w:bCs/>
                <w:sz w:val="20"/>
                <w:szCs w:val="20"/>
              </w:rPr>
              <w:t>migration of people</w:t>
            </w:r>
            <w:r w:rsidR="00752CA5">
              <w:rPr>
                <w:rFonts w:ascii="Arial" w:hAnsi="Arial" w:cs="Arial"/>
                <w:bCs/>
                <w:sz w:val="20"/>
                <w:szCs w:val="20"/>
              </w:rPr>
              <w:t xml:space="preserve"> in these areas</w:t>
            </w:r>
            <w:r w:rsidRPr="00A72B35">
              <w:rPr>
                <w:rFonts w:ascii="Arial" w:hAnsi="Arial" w:cs="Arial"/>
                <w:bCs/>
                <w:sz w:val="20"/>
                <w:szCs w:val="20"/>
              </w:rPr>
              <w:t>.</w:t>
            </w:r>
          </w:p>
        </w:tc>
      </w:tr>
      <w:tr w:rsidR="00551F05" w:rsidRPr="00A72B35" w14:paraId="35F9EC71" w14:textId="77777777" w:rsidTr="00A97F2F">
        <w:tc>
          <w:tcPr>
            <w:tcW w:w="2977" w:type="dxa"/>
            <w:shd w:val="clear" w:color="auto" w:fill="auto"/>
          </w:tcPr>
          <w:p w14:paraId="37C5747B" w14:textId="77777777" w:rsidR="00551F05" w:rsidRPr="00A72B35" w:rsidRDefault="00551F05" w:rsidP="00861B37">
            <w:pPr>
              <w:spacing w:line="480" w:lineRule="auto"/>
              <w:rPr>
                <w:rFonts w:ascii="Arial" w:hAnsi="Arial" w:cs="Arial"/>
                <w:bCs/>
                <w:sz w:val="20"/>
                <w:szCs w:val="20"/>
              </w:rPr>
            </w:pPr>
          </w:p>
        </w:tc>
        <w:tc>
          <w:tcPr>
            <w:tcW w:w="7371" w:type="dxa"/>
            <w:shd w:val="clear" w:color="auto" w:fill="auto"/>
          </w:tcPr>
          <w:p w14:paraId="2D1266AE" w14:textId="3092474E"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5. The definition of </w:t>
            </w:r>
            <w:r w:rsidR="00752CA5">
              <w:rPr>
                <w:rFonts w:ascii="Arial" w:hAnsi="Arial" w:cs="Arial"/>
                <w:bCs/>
                <w:sz w:val="20"/>
                <w:szCs w:val="20"/>
              </w:rPr>
              <w:t>“</w:t>
            </w:r>
            <w:r w:rsidRPr="00A72B35">
              <w:rPr>
                <w:rFonts w:ascii="Arial" w:hAnsi="Arial" w:cs="Arial"/>
                <w:bCs/>
                <w:sz w:val="20"/>
                <w:szCs w:val="20"/>
              </w:rPr>
              <w:t>contaminated plots</w:t>
            </w:r>
            <w:r w:rsidR="00752CA5">
              <w:rPr>
                <w:rFonts w:ascii="Arial" w:hAnsi="Arial" w:cs="Arial"/>
                <w:bCs/>
                <w:sz w:val="20"/>
                <w:szCs w:val="20"/>
              </w:rPr>
              <w:t>”</w:t>
            </w:r>
            <w:r w:rsidRPr="00A72B35">
              <w:rPr>
                <w:rFonts w:ascii="Arial" w:hAnsi="Arial" w:cs="Arial"/>
                <w:bCs/>
                <w:sz w:val="20"/>
                <w:szCs w:val="20"/>
              </w:rPr>
              <w:t xml:space="preserve"> is not clear, so delet</w:t>
            </w:r>
            <w:r w:rsidR="00752CA5">
              <w:rPr>
                <w:rFonts w:ascii="Arial" w:hAnsi="Arial" w:cs="Arial"/>
                <w:bCs/>
                <w:sz w:val="20"/>
                <w:szCs w:val="20"/>
              </w:rPr>
              <w:t>ing</w:t>
            </w:r>
            <w:r w:rsidRPr="00A72B35">
              <w:rPr>
                <w:rFonts w:ascii="Arial" w:hAnsi="Arial" w:cs="Arial"/>
                <w:bCs/>
                <w:sz w:val="20"/>
                <w:szCs w:val="20"/>
              </w:rPr>
              <w:t xml:space="preserve"> “Safety utilization rate of contaminated plots”</w:t>
            </w:r>
            <w:r w:rsidR="00752CA5">
              <w:rPr>
                <w:rFonts w:ascii="Arial" w:hAnsi="Arial" w:cs="Arial"/>
                <w:bCs/>
                <w:sz w:val="20"/>
                <w:szCs w:val="20"/>
              </w:rPr>
              <w:t xml:space="preserve"> is recommended</w:t>
            </w:r>
            <w:r w:rsidRPr="00A72B35">
              <w:rPr>
                <w:rFonts w:ascii="Arial" w:hAnsi="Arial" w:cs="Arial"/>
                <w:bCs/>
                <w:sz w:val="20"/>
                <w:szCs w:val="20"/>
              </w:rPr>
              <w:t>.</w:t>
            </w:r>
          </w:p>
        </w:tc>
      </w:tr>
      <w:tr w:rsidR="00551F05" w:rsidRPr="00A72B35" w14:paraId="34C73351" w14:textId="77777777" w:rsidTr="00A97F2F">
        <w:tc>
          <w:tcPr>
            <w:tcW w:w="2977" w:type="dxa"/>
            <w:shd w:val="clear" w:color="auto" w:fill="auto"/>
          </w:tcPr>
          <w:p w14:paraId="4FF06C9D"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Supplementary/retained indicators </w:t>
            </w:r>
          </w:p>
        </w:tc>
        <w:tc>
          <w:tcPr>
            <w:tcW w:w="7371" w:type="dxa"/>
            <w:shd w:val="clear" w:color="auto" w:fill="auto"/>
          </w:tcPr>
          <w:p w14:paraId="55839A67" w14:textId="77777777" w:rsidR="00551F05" w:rsidRPr="00A72B35" w:rsidRDefault="00551F05" w:rsidP="00861B37">
            <w:pPr>
              <w:spacing w:line="480" w:lineRule="auto"/>
              <w:rPr>
                <w:rFonts w:ascii="Arial" w:hAnsi="Arial" w:cs="Arial"/>
                <w:bCs/>
                <w:sz w:val="20"/>
                <w:szCs w:val="20"/>
              </w:rPr>
            </w:pPr>
            <w:bookmarkStart w:id="5" w:name="_Hlk14342720"/>
            <w:r w:rsidRPr="00A72B35">
              <w:rPr>
                <w:rFonts w:ascii="Arial" w:hAnsi="Arial" w:cs="Arial"/>
                <w:bCs/>
                <w:sz w:val="20"/>
                <w:szCs w:val="20"/>
              </w:rPr>
              <w:t xml:space="preserve">1. Myopia is a serious public health concern in China. It is recommended to supplement one indicator of myopia rate of students. </w:t>
            </w:r>
            <w:bookmarkEnd w:id="5"/>
          </w:p>
        </w:tc>
      </w:tr>
      <w:tr w:rsidR="00551F05" w:rsidRPr="00A72B35" w14:paraId="1629BE66" w14:textId="77777777" w:rsidTr="00A97F2F">
        <w:tc>
          <w:tcPr>
            <w:tcW w:w="2977" w:type="dxa"/>
            <w:shd w:val="clear" w:color="auto" w:fill="auto"/>
          </w:tcPr>
          <w:p w14:paraId="5908725B" w14:textId="77777777" w:rsidR="00551F05" w:rsidRPr="00A72B35" w:rsidRDefault="00551F05" w:rsidP="00861B37">
            <w:pPr>
              <w:spacing w:line="480" w:lineRule="auto"/>
              <w:rPr>
                <w:rFonts w:ascii="Arial" w:hAnsi="Arial" w:cs="Arial"/>
                <w:bCs/>
                <w:sz w:val="20"/>
                <w:szCs w:val="20"/>
              </w:rPr>
            </w:pPr>
          </w:p>
        </w:tc>
        <w:tc>
          <w:tcPr>
            <w:tcW w:w="7371" w:type="dxa"/>
            <w:shd w:val="clear" w:color="auto" w:fill="auto"/>
          </w:tcPr>
          <w:p w14:paraId="3417F549" w14:textId="35788DE9"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2. For the indicators of government medical assistance, the people who hold the minimum living security, which is judged by legal procedures</w:t>
            </w:r>
            <w:r w:rsidR="00752CA5">
              <w:rPr>
                <w:rFonts w:ascii="Arial" w:hAnsi="Arial" w:cs="Arial"/>
                <w:bCs/>
                <w:sz w:val="20"/>
                <w:szCs w:val="20"/>
              </w:rPr>
              <w:t xml:space="preserve"> </w:t>
            </w:r>
            <w:r w:rsidR="00752CA5" w:rsidRPr="00A72B35">
              <w:rPr>
                <w:rFonts w:ascii="Arial" w:hAnsi="Arial" w:cs="Arial"/>
                <w:bCs/>
                <w:sz w:val="20"/>
                <w:szCs w:val="20"/>
              </w:rPr>
              <w:t>are relatively stable</w:t>
            </w:r>
            <w:r w:rsidRPr="00A72B35">
              <w:rPr>
                <w:rFonts w:ascii="Arial" w:hAnsi="Arial" w:cs="Arial"/>
                <w:bCs/>
                <w:sz w:val="20"/>
                <w:szCs w:val="20"/>
              </w:rPr>
              <w:t>, so keep</w:t>
            </w:r>
            <w:r w:rsidR="00752CA5">
              <w:rPr>
                <w:rFonts w:ascii="Arial" w:hAnsi="Arial" w:cs="Arial"/>
                <w:bCs/>
                <w:sz w:val="20"/>
                <w:szCs w:val="20"/>
              </w:rPr>
              <w:t>ing</w:t>
            </w:r>
            <w:r w:rsidRPr="00A72B35">
              <w:rPr>
                <w:rFonts w:ascii="Arial" w:hAnsi="Arial" w:cs="Arial"/>
                <w:bCs/>
                <w:sz w:val="20"/>
                <w:szCs w:val="20"/>
              </w:rPr>
              <w:t xml:space="preserve"> the indicators of the minimum living security group</w:t>
            </w:r>
            <w:r w:rsidR="00752CA5">
              <w:rPr>
                <w:rFonts w:ascii="Arial" w:hAnsi="Arial" w:cs="Arial"/>
                <w:bCs/>
                <w:sz w:val="20"/>
                <w:szCs w:val="20"/>
              </w:rPr>
              <w:t xml:space="preserve"> is recommended</w:t>
            </w:r>
            <w:r w:rsidRPr="00A72B35">
              <w:rPr>
                <w:rFonts w:ascii="Arial" w:hAnsi="Arial" w:cs="Arial"/>
                <w:bCs/>
                <w:sz w:val="20"/>
                <w:szCs w:val="20"/>
              </w:rPr>
              <w:t xml:space="preserve">. </w:t>
            </w:r>
          </w:p>
        </w:tc>
      </w:tr>
      <w:tr w:rsidR="00551F05" w:rsidRPr="00A72B35" w14:paraId="1E1FE152" w14:textId="77777777" w:rsidTr="00A97F2F">
        <w:tc>
          <w:tcPr>
            <w:tcW w:w="2977" w:type="dxa"/>
            <w:shd w:val="clear" w:color="auto" w:fill="auto"/>
          </w:tcPr>
          <w:p w14:paraId="5A7A1077"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Classification of second-level indicator</w:t>
            </w:r>
          </w:p>
        </w:tc>
        <w:tc>
          <w:tcPr>
            <w:tcW w:w="7371" w:type="dxa"/>
            <w:shd w:val="clear" w:color="auto" w:fill="auto"/>
          </w:tcPr>
          <w:p w14:paraId="17D69507" w14:textId="42A76054"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1. The second-level indicator “</w:t>
            </w:r>
            <w:r w:rsidR="00752CA5" w:rsidRPr="00A72B35">
              <w:rPr>
                <w:rFonts w:ascii="Arial" w:hAnsi="Arial" w:cs="Arial"/>
                <w:bCs/>
                <w:sz w:val="20"/>
                <w:szCs w:val="20"/>
              </w:rPr>
              <w:t>Cultur</w:t>
            </w:r>
            <w:r w:rsidR="00752CA5">
              <w:rPr>
                <w:rFonts w:ascii="Arial" w:hAnsi="Arial" w:cs="Arial"/>
                <w:bCs/>
                <w:sz w:val="20"/>
                <w:szCs w:val="20"/>
              </w:rPr>
              <w:t>e</w:t>
            </w:r>
            <w:r w:rsidR="00752CA5" w:rsidRPr="00A72B35">
              <w:rPr>
                <w:rFonts w:ascii="Arial" w:hAnsi="Arial" w:cs="Arial"/>
                <w:bCs/>
                <w:sz w:val="20"/>
                <w:szCs w:val="20"/>
              </w:rPr>
              <w:t xml:space="preserve"> </w:t>
            </w:r>
            <w:r w:rsidRPr="00A72B35">
              <w:rPr>
                <w:rFonts w:ascii="Arial" w:hAnsi="Arial" w:cs="Arial"/>
                <w:bCs/>
                <w:sz w:val="20"/>
                <w:szCs w:val="20"/>
              </w:rPr>
              <w:t>and Education” is proposed to be changed to “Education</w:t>
            </w:r>
            <w:r w:rsidR="00752CA5" w:rsidRPr="00A72B35">
              <w:rPr>
                <w:rFonts w:ascii="Arial" w:hAnsi="Arial" w:cs="Arial"/>
                <w:bCs/>
                <w:sz w:val="20"/>
                <w:szCs w:val="20"/>
              </w:rPr>
              <w:t>.</w:t>
            </w:r>
            <w:r w:rsidRPr="00A72B35">
              <w:rPr>
                <w:rFonts w:ascii="Arial" w:hAnsi="Arial" w:cs="Arial"/>
                <w:bCs/>
                <w:sz w:val="20"/>
                <w:szCs w:val="20"/>
              </w:rPr>
              <w:t>”</w:t>
            </w:r>
          </w:p>
        </w:tc>
      </w:tr>
      <w:tr w:rsidR="00551F05" w:rsidRPr="00A72B35" w14:paraId="14E8C983" w14:textId="77777777" w:rsidTr="00A97F2F">
        <w:tc>
          <w:tcPr>
            <w:tcW w:w="2977" w:type="dxa"/>
            <w:shd w:val="clear" w:color="auto" w:fill="auto"/>
          </w:tcPr>
          <w:p w14:paraId="4813CDF9"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Characteristic indicators</w:t>
            </w:r>
          </w:p>
        </w:tc>
        <w:tc>
          <w:tcPr>
            <w:tcW w:w="7371" w:type="dxa"/>
            <w:shd w:val="clear" w:color="auto" w:fill="auto"/>
          </w:tcPr>
          <w:p w14:paraId="3AD1925D" w14:textId="2A27584C"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1. “Building of healthy venues” could be supplemented.</w:t>
            </w:r>
          </w:p>
        </w:tc>
      </w:tr>
      <w:tr w:rsidR="00551F05" w:rsidRPr="00A72B35" w14:paraId="53B0125A" w14:textId="77777777" w:rsidTr="00A97F2F">
        <w:tc>
          <w:tcPr>
            <w:tcW w:w="2977" w:type="dxa"/>
            <w:shd w:val="clear" w:color="auto" w:fill="auto"/>
          </w:tcPr>
          <w:p w14:paraId="41876442" w14:textId="77777777" w:rsidR="00551F05" w:rsidRPr="00A72B35" w:rsidRDefault="00551F05" w:rsidP="00861B37">
            <w:pPr>
              <w:spacing w:line="480" w:lineRule="auto"/>
              <w:rPr>
                <w:rFonts w:ascii="Arial" w:hAnsi="Arial" w:cs="Arial"/>
                <w:bCs/>
                <w:sz w:val="20"/>
                <w:szCs w:val="20"/>
              </w:rPr>
            </w:pPr>
          </w:p>
        </w:tc>
        <w:tc>
          <w:tcPr>
            <w:tcW w:w="7371" w:type="dxa"/>
            <w:shd w:val="clear" w:color="auto" w:fill="auto"/>
          </w:tcPr>
          <w:p w14:paraId="021DFE43" w14:textId="42733706"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2. “Health Science Popularization” is a local characteristic feature </w:t>
            </w:r>
            <w:r w:rsidR="001F0836">
              <w:rPr>
                <w:rFonts w:ascii="Arial" w:hAnsi="Arial" w:cs="Arial"/>
                <w:bCs/>
                <w:sz w:val="20"/>
                <w:szCs w:val="20"/>
              </w:rPr>
              <w:t>that</w:t>
            </w:r>
            <w:r w:rsidR="001F0836" w:rsidRPr="00A72B35">
              <w:rPr>
                <w:rFonts w:ascii="Arial" w:hAnsi="Arial" w:cs="Arial"/>
                <w:bCs/>
                <w:sz w:val="20"/>
                <w:szCs w:val="20"/>
              </w:rPr>
              <w:t xml:space="preserve"> </w:t>
            </w:r>
            <w:r w:rsidRPr="00A72B35">
              <w:rPr>
                <w:rFonts w:ascii="Arial" w:hAnsi="Arial" w:cs="Arial"/>
                <w:bCs/>
                <w:sz w:val="20"/>
                <w:szCs w:val="20"/>
              </w:rPr>
              <w:t xml:space="preserve">could be included. The specific indicators are the times of health science popularization, the number of people gathered, </w:t>
            </w:r>
            <w:r w:rsidR="001F0836">
              <w:rPr>
                <w:rFonts w:ascii="Arial" w:hAnsi="Arial" w:cs="Arial"/>
                <w:bCs/>
                <w:sz w:val="20"/>
                <w:szCs w:val="20"/>
              </w:rPr>
              <w:t xml:space="preserve">and </w:t>
            </w:r>
            <w:r w:rsidRPr="00A72B35">
              <w:rPr>
                <w:rFonts w:ascii="Arial" w:hAnsi="Arial" w:cs="Arial"/>
                <w:bCs/>
                <w:sz w:val="20"/>
                <w:szCs w:val="20"/>
              </w:rPr>
              <w:t>the number of LED viewing</w:t>
            </w:r>
            <w:r w:rsidR="001F0836">
              <w:rPr>
                <w:rFonts w:ascii="Arial" w:hAnsi="Arial" w:cs="Arial"/>
                <w:bCs/>
                <w:sz w:val="20"/>
                <w:szCs w:val="20"/>
              </w:rPr>
              <w:t>s</w:t>
            </w:r>
            <w:r w:rsidRPr="00A72B35">
              <w:rPr>
                <w:rFonts w:ascii="Arial" w:hAnsi="Arial" w:cs="Arial"/>
                <w:bCs/>
                <w:sz w:val="20"/>
                <w:szCs w:val="20"/>
              </w:rPr>
              <w:t>.</w:t>
            </w:r>
          </w:p>
        </w:tc>
      </w:tr>
    </w:tbl>
    <w:p w14:paraId="24BCE183" w14:textId="77777777" w:rsidR="00551F05" w:rsidRPr="00A72B35" w:rsidRDefault="00551F05" w:rsidP="00861B37">
      <w:pPr>
        <w:rPr>
          <w:rFonts w:ascii="Arial" w:hAnsi="Arial" w:cs="Arial"/>
          <w:sz w:val="20"/>
          <w:szCs w:val="20"/>
        </w:rPr>
      </w:pPr>
    </w:p>
    <w:p w14:paraId="3B5F0285" w14:textId="77777777" w:rsidR="00D22A74" w:rsidRPr="00A72B35" w:rsidRDefault="00D22A74" w:rsidP="00861B37">
      <w:pPr>
        <w:spacing w:line="360" w:lineRule="auto"/>
        <w:rPr>
          <w:rFonts w:ascii="Arial" w:hAnsi="Arial" w:cs="Arial"/>
          <w:b/>
          <w:sz w:val="20"/>
          <w:szCs w:val="20"/>
        </w:rPr>
      </w:pPr>
    </w:p>
    <w:p w14:paraId="38D4C270" w14:textId="41B44244" w:rsidR="00551F05" w:rsidRPr="00A72B35" w:rsidRDefault="00551F05" w:rsidP="002F4DBE">
      <w:pPr>
        <w:spacing w:line="480" w:lineRule="auto"/>
        <w:rPr>
          <w:rFonts w:ascii="Arial" w:eastAsia="宋体" w:hAnsi="Arial" w:cs="Arial"/>
          <w:b/>
          <w:sz w:val="20"/>
          <w:szCs w:val="20"/>
        </w:rPr>
      </w:pPr>
      <w:r w:rsidRPr="00A72B35">
        <w:rPr>
          <w:rFonts w:ascii="Arial" w:hAnsi="Arial" w:cs="Arial"/>
          <w:b/>
          <w:sz w:val="20"/>
          <w:szCs w:val="20"/>
        </w:rPr>
        <w:t xml:space="preserve">Appendix </w:t>
      </w:r>
      <w:r w:rsidRPr="00A72B35">
        <w:rPr>
          <w:rFonts w:ascii="Arial" w:eastAsia="宋体" w:hAnsi="Arial" w:cs="Arial"/>
          <w:b/>
          <w:sz w:val="20"/>
          <w:szCs w:val="20"/>
        </w:rPr>
        <w:t>E</w:t>
      </w:r>
    </w:p>
    <w:p w14:paraId="5534218C" w14:textId="77777777" w:rsidR="00551F05" w:rsidRPr="00A72B35" w:rsidRDefault="00551F05" w:rsidP="002F4DBE">
      <w:pPr>
        <w:spacing w:line="480" w:lineRule="auto"/>
        <w:rPr>
          <w:rFonts w:ascii="Arial" w:hAnsi="Arial" w:cs="Arial"/>
          <w:b/>
          <w:sz w:val="20"/>
          <w:szCs w:val="20"/>
        </w:rPr>
      </w:pPr>
      <w:r w:rsidRPr="00A72B35">
        <w:rPr>
          <w:rFonts w:ascii="Arial" w:hAnsi="Arial" w:cs="Arial"/>
          <w:b/>
          <w:sz w:val="20"/>
          <w:szCs w:val="20"/>
        </w:rPr>
        <w:t>Final recommended list of Healthy City Indicators (HCI) and their definitions</w:t>
      </w:r>
    </w:p>
    <w:p w14:paraId="4BF7D00D" w14:textId="5912ABBB" w:rsidR="00551F05" w:rsidRPr="00A72B35" w:rsidRDefault="00551F05" w:rsidP="002F4DBE">
      <w:pPr>
        <w:spacing w:line="480" w:lineRule="auto"/>
        <w:rPr>
          <w:rFonts w:ascii="Arial" w:hAnsi="Arial" w:cs="Arial"/>
          <w:b/>
          <w:sz w:val="20"/>
          <w:szCs w:val="20"/>
        </w:rPr>
      </w:pPr>
      <w:r w:rsidRPr="00A72B35">
        <w:rPr>
          <w:rFonts w:ascii="Arial" w:hAnsi="Arial" w:cs="Arial"/>
          <w:b/>
          <w:sz w:val="20"/>
          <w:szCs w:val="20"/>
        </w:rPr>
        <w:t xml:space="preserve">HCI 1: </w:t>
      </w:r>
      <w:r w:rsidR="00FD47E9">
        <w:rPr>
          <w:rFonts w:ascii="Arial" w:hAnsi="Arial" w:cs="Arial"/>
          <w:b/>
          <w:sz w:val="20"/>
          <w:szCs w:val="20"/>
        </w:rPr>
        <w:t>P</w:t>
      </w:r>
      <w:r w:rsidRPr="00A72B35">
        <w:rPr>
          <w:rFonts w:ascii="Arial" w:hAnsi="Arial" w:cs="Arial"/>
          <w:b/>
          <w:sz w:val="20"/>
          <w:szCs w:val="20"/>
        </w:rPr>
        <w:t>roportion of days with a good and excellent air quality</w:t>
      </w:r>
    </w:p>
    <w:p w14:paraId="7CF5548A" w14:textId="3C531ADF"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number of days with an </w:t>
      </w:r>
      <w:r w:rsidR="00FD47E9" w:rsidRPr="00A72B35">
        <w:rPr>
          <w:rFonts w:ascii="Arial" w:hAnsi="Arial" w:cs="Arial"/>
          <w:sz w:val="20"/>
          <w:szCs w:val="20"/>
        </w:rPr>
        <w:t xml:space="preserve">air quality index </w:t>
      </w:r>
      <w:r w:rsidR="00FD47E9">
        <w:rPr>
          <w:rFonts w:ascii="Arial" w:hAnsi="Arial" w:cs="Arial"/>
          <w:sz w:val="20"/>
          <w:szCs w:val="20"/>
        </w:rPr>
        <w:t>(</w:t>
      </w:r>
      <w:r w:rsidRPr="00A72B35">
        <w:rPr>
          <w:rFonts w:ascii="Arial" w:hAnsi="Arial" w:cs="Arial"/>
          <w:sz w:val="20"/>
          <w:szCs w:val="20"/>
        </w:rPr>
        <w:t>AQI</w:t>
      </w:r>
      <w:r w:rsidR="00FD47E9">
        <w:rPr>
          <w:rFonts w:ascii="Arial" w:hAnsi="Arial" w:cs="Arial"/>
          <w:sz w:val="20"/>
          <w:szCs w:val="20"/>
        </w:rPr>
        <w:t>)</w:t>
      </w:r>
      <w:r w:rsidRPr="00A72B35">
        <w:rPr>
          <w:rFonts w:ascii="Arial" w:hAnsi="Arial" w:cs="Arial"/>
          <w:sz w:val="20"/>
          <w:szCs w:val="20"/>
        </w:rPr>
        <w:t xml:space="preserve"> ≤ 100 as a percentage of the number </w:t>
      </w:r>
      <w:r w:rsidRPr="00A72B35">
        <w:rPr>
          <w:rFonts w:ascii="Arial" w:hAnsi="Arial" w:cs="Arial"/>
          <w:sz w:val="20"/>
          <w:szCs w:val="20"/>
        </w:rPr>
        <w:lastRenderedPageBreak/>
        <w:t>of days in the year.</w:t>
      </w:r>
    </w:p>
    <w:p w14:paraId="6AB93FD2" w14:textId="5CEBEBE9" w:rsidR="00551F05" w:rsidRPr="00A72B35" w:rsidRDefault="00551F05" w:rsidP="00861B37">
      <w:pPr>
        <w:spacing w:line="480" w:lineRule="auto"/>
        <w:ind w:firstLineChars="200" w:firstLine="400"/>
        <w:rPr>
          <w:rFonts w:ascii="Arial" w:hAnsi="Arial" w:cs="Arial"/>
          <w:sz w:val="20"/>
          <w:szCs w:val="20"/>
        </w:rPr>
      </w:pPr>
      <w:r w:rsidRPr="00A72B35">
        <w:rPr>
          <w:rFonts w:ascii="Arial" w:hAnsi="Arial" w:cs="Arial"/>
          <w:sz w:val="20"/>
          <w:szCs w:val="20"/>
        </w:rPr>
        <w:t xml:space="preserve">AQI is an abbreviation for air quality index. The AQI currently used in China is divided into six levels. </w:t>
      </w:r>
      <w:r w:rsidR="00FD47E9">
        <w:rPr>
          <w:rFonts w:ascii="Arial" w:hAnsi="Arial" w:cs="Arial"/>
          <w:sz w:val="20"/>
          <w:szCs w:val="20"/>
        </w:rPr>
        <w:t xml:space="preserve">I: </w:t>
      </w:r>
      <w:r w:rsidRPr="00A72B35">
        <w:rPr>
          <w:rFonts w:ascii="Arial" w:hAnsi="Arial" w:cs="Arial"/>
          <w:sz w:val="20"/>
          <w:szCs w:val="20"/>
        </w:rPr>
        <w:t xml:space="preserve">0≤AQI≤50, the air quality is excellent; </w:t>
      </w:r>
      <w:r w:rsidR="00FD47E9">
        <w:rPr>
          <w:rFonts w:ascii="Arial" w:hAnsi="Arial" w:cs="Arial"/>
          <w:sz w:val="20"/>
          <w:szCs w:val="20"/>
        </w:rPr>
        <w:t xml:space="preserve">II: </w:t>
      </w:r>
      <w:r w:rsidRPr="00A72B35">
        <w:rPr>
          <w:rFonts w:ascii="Arial" w:hAnsi="Arial" w:cs="Arial"/>
          <w:sz w:val="20"/>
          <w:szCs w:val="20"/>
        </w:rPr>
        <w:t xml:space="preserve">51≤AQI≤100, the air quality is good; </w:t>
      </w:r>
      <w:r w:rsidR="00FD47E9">
        <w:rPr>
          <w:rFonts w:ascii="Arial" w:hAnsi="Arial" w:cs="Arial"/>
          <w:sz w:val="20"/>
          <w:szCs w:val="20"/>
        </w:rPr>
        <w:t xml:space="preserve">III: </w:t>
      </w:r>
      <w:r w:rsidRPr="00A72B35">
        <w:rPr>
          <w:rFonts w:ascii="Arial" w:hAnsi="Arial" w:cs="Arial"/>
          <w:sz w:val="20"/>
          <w:szCs w:val="20"/>
        </w:rPr>
        <w:t>101≤AQI≤150, mild pollution</w:t>
      </w:r>
      <w:r w:rsidR="00582117">
        <w:rPr>
          <w:rFonts w:ascii="Arial" w:hAnsi="Arial" w:cs="Arial"/>
          <w:sz w:val="20"/>
          <w:szCs w:val="20"/>
        </w:rPr>
        <w:t xml:space="preserve"> is observed</w:t>
      </w:r>
      <w:r w:rsidRPr="00A72B35">
        <w:rPr>
          <w:rFonts w:ascii="Arial" w:hAnsi="Arial" w:cs="Arial"/>
          <w:sz w:val="20"/>
          <w:szCs w:val="20"/>
        </w:rPr>
        <w:t xml:space="preserve">; </w:t>
      </w:r>
      <w:r w:rsidR="00FD47E9">
        <w:rPr>
          <w:rFonts w:ascii="Arial" w:hAnsi="Arial" w:cs="Arial"/>
          <w:sz w:val="20"/>
          <w:szCs w:val="20"/>
        </w:rPr>
        <w:t xml:space="preserve">IV: </w:t>
      </w:r>
      <w:r w:rsidRPr="00A72B35">
        <w:rPr>
          <w:rFonts w:ascii="Arial" w:hAnsi="Arial" w:cs="Arial"/>
          <w:sz w:val="20"/>
          <w:szCs w:val="20"/>
        </w:rPr>
        <w:t>151≤AQI≤200, IV, moderate pollution</w:t>
      </w:r>
      <w:r w:rsidR="00582117" w:rsidRPr="00582117">
        <w:rPr>
          <w:rFonts w:ascii="Arial" w:hAnsi="Arial" w:cs="Arial"/>
          <w:sz w:val="20"/>
          <w:szCs w:val="20"/>
        </w:rPr>
        <w:t xml:space="preserve"> </w:t>
      </w:r>
      <w:r w:rsidR="00582117">
        <w:rPr>
          <w:rFonts w:ascii="Arial" w:hAnsi="Arial" w:cs="Arial"/>
          <w:sz w:val="20"/>
          <w:szCs w:val="20"/>
        </w:rPr>
        <w:t>is observed</w:t>
      </w:r>
      <w:r w:rsidRPr="00A72B35">
        <w:rPr>
          <w:rFonts w:ascii="Arial" w:hAnsi="Arial" w:cs="Arial"/>
          <w:sz w:val="20"/>
          <w:szCs w:val="20"/>
        </w:rPr>
        <w:t xml:space="preserve">; </w:t>
      </w:r>
      <w:r w:rsidR="00FD47E9">
        <w:rPr>
          <w:rFonts w:ascii="Arial" w:hAnsi="Arial" w:cs="Arial"/>
          <w:sz w:val="20"/>
          <w:szCs w:val="20"/>
        </w:rPr>
        <w:t xml:space="preserve">V: </w:t>
      </w:r>
      <w:r w:rsidRPr="00A72B35">
        <w:rPr>
          <w:rFonts w:ascii="Arial" w:hAnsi="Arial" w:cs="Arial"/>
          <w:sz w:val="20"/>
          <w:szCs w:val="20"/>
        </w:rPr>
        <w:t>201≤AQI≤300, V, heavy pollution</w:t>
      </w:r>
      <w:r w:rsidR="00582117" w:rsidRPr="00582117">
        <w:rPr>
          <w:rFonts w:ascii="Arial" w:hAnsi="Arial" w:cs="Arial"/>
          <w:sz w:val="20"/>
          <w:szCs w:val="20"/>
        </w:rPr>
        <w:t xml:space="preserve"> </w:t>
      </w:r>
      <w:r w:rsidR="00582117">
        <w:rPr>
          <w:rFonts w:ascii="Arial" w:hAnsi="Arial" w:cs="Arial"/>
          <w:sz w:val="20"/>
          <w:szCs w:val="20"/>
        </w:rPr>
        <w:t>is observed</w:t>
      </w:r>
      <w:r w:rsidRPr="00A72B35">
        <w:rPr>
          <w:rFonts w:ascii="Arial" w:hAnsi="Arial" w:cs="Arial"/>
          <w:sz w:val="20"/>
          <w:szCs w:val="20"/>
        </w:rPr>
        <w:t xml:space="preserve">; </w:t>
      </w:r>
      <w:r w:rsidR="00FD47E9">
        <w:rPr>
          <w:rFonts w:ascii="Arial" w:hAnsi="Arial" w:cs="Arial"/>
          <w:sz w:val="20"/>
          <w:szCs w:val="20"/>
        </w:rPr>
        <w:t xml:space="preserve">VI: </w:t>
      </w:r>
      <w:r w:rsidRPr="00A72B35">
        <w:rPr>
          <w:rFonts w:ascii="Arial" w:hAnsi="Arial" w:cs="Arial"/>
          <w:sz w:val="20"/>
          <w:szCs w:val="20"/>
        </w:rPr>
        <w:t>AQI</w:t>
      </w:r>
      <w:r w:rsidRPr="00A72B35">
        <w:rPr>
          <w:rFonts w:ascii="Arial" w:hAnsi="Arial" w:cs="Arial"/>
          <w:sz w:val="20"/>
          <w:szCs w:val="20"/>
        </w:rPr>
        <w:t>＞</w:t>
      </w:r>
      <w:r w:rsidRPr="00A72B35">
        <w:rPr>
          <w:rFonts w:ascii="Arial" w:hAnsi="Arial" w:cs="Arial"/>
          <w:sz w:val="20"/>
          <w:szCs w:val="20"/>
        </w:rPr>
        <w:t>300, VI, serious pollution</w:t>
      </w:r>
      <w:r w:rsidR="00582117" w:rsidRPr="00582117">
        <w:rPr>
          <w:rFonts w:ascii="Arial" w:hAnsi="Arial" w:cs="Arial"/>
          <w:sz w:val="20"/>
          <w:szCs w:val="20"/>
        </w:rPr>
        <w:t xml:space="preserve"> </w:t>
      </w:r>
      <w:r w:rsidR="00582117">
        <w:rPr>
          <w:rFonts w:ascii="Arial" w:hAnsi="Arial" w:cs="Arial"/>
          <w:sz w:val="20"/>
          <w:szCs w:val="20"/>
        </w:rPr>
        <w:t>is observed</w:t>
      </w:r>
      <w:r w:rsidRPr="00A72B35">
        <w:rPr>
          <w:rFonts w:ascii="Arial" w:hAnsi="Arial" w:cs="Arial"/>
          <w:sz w:val="20"/>
          <w:szCs w:val="20"/>
        </w:rPr>
        <w:t>.</w:t>
      </w:r>
    </w:p>
    <w:p w14:paraId="5FD247B5"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2: PM2.5 concentration</w:t>
      </w:r>
    </w:p>
    <w:p w14:paraId="2115E497" w14:textId="1ED5FFB8"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amount of particulate matter with </w:t>
      </w:r>
      <w:r w:rsidR="00DC54E7">
        <w:rPr>
          <w:rFonts w:ascii="Arial" w:hAnsi="Arial" w:cs="Arial"/>
          <w:sz w:val="20"/>
          <w:szCs w:val="20"/>
        </w:rPr>
        <w:t xml:space="preserve">an </w:t>
      </w:r>
      <w:r w:rsidRPr="00A72B35">
        <w:rPr>
          <w:rFonts w:ascii="Arial" w:hAnsi="Arial" w:cs="Arial"/>
          <w:sz w:val="20"/>
          <w:szCs w:val="20"/>
        </w:rPr>
        <w:t xml:space="preserve">aerodynamic equivalent diameter of 2.5 microns or less per cubic meter of ambient air, in μg/m3. </w:t>
      </w:r>
      <w:r w:rsidR="00DC54E7">
        <w:rPr>
          <w:rFonts w:ascii="Arial" w:hAnsi="Arial" w:cs="Arial"/>
          <w:sz w:val="20"/>
          <w:szCs w:val="20"/>
        </w:rPr>
        <w:t>If the value is</w:t>
      </w:r>
      <w:r w:rsidR="00DC54E7" w:rsidRPr="00A72B35">
        <w:rPr>
          <w:rFonts w:ascii="Arial" w:hAnsi="Arial" w:cs="Arial"/>
          <w:sz w:val="20"/>
          <w:szCs w:val="20"/>
        </w:rPr>
        <w:t xml:space="preserve"> </w:t>
      </w:r>
      <w:r w:rsidRPr="00A72B35">
        <w:rPr>
          <w:rFonts w:ascii="Arial" w:hAnsi="Arial" w:cs="Arial"/>
          <w:sz w:val="20"/>
          <w:szCs w:val="20"/>
        </w:rPr>
        <w:t xml:space="preserve">high, </w:t>
      </w:r>
      <w:r w:rsidR="00DC54E7">
        <w:rPr>
          <w:rFonts w:ascii="Arial" w:hAnsi="Arial" w:cs="Arial"/>
          <w:sz w:val="20"/>
          <w:szCs w:val="20"/>
        </w:rPr>
        <w:t xml:space="preserve">then </w:t>
      </w:r>
      <w:r w:rsidRPr="00A72B35">
        <w:rPr>
          <w:rFonts w:ascii="Arial" w:hAnsi="Arial" w:cs="Arial"/>
          <w:sz w:val="20"/>
          <w:szCs w:val="20"/>
        </w:rPr>
        <w:t>the air pollution</w:t>
      </w:r>
      <w:r w:rsidR="00DC54E7">
        <w:rPr>
          <w:rFonts w:ascii="Arial" w:hAnsi="Arial" w:cs="Arial"/>
          <w:sz w:val="20"/>
          <w:szCs w:val="20"/>
        </w:rPr>
        <w:t xml:space="preserve"> is serious</w:t>
      </w:r>
      <w:r w:rsidRPr="00A72B35">
        <w:rPr>
          <w:rFonts w:ascii="Arial" w:hAnsi="Arial" w:cs="Arial"/>
          <w:sz w:val="20"/>
          <w:szCs w:val="20"/>
        </w:rPr>
        <w:t xml:space="preserve">. </w:t>
      </w:r>
    </w:p>
    <w:p w14:paraId="5FEF35AB" w14:textId="12BFF4B6"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3:</w:t>
      </w:r>
      <w:r w:rsidRPr="00A72B35">
        <w:rPr>
          <w:rFonts w:ascii="Arial" w:hAnsi="Arial" w:cs="Arial"/>
          <w:sz w:val="20"/>
          <w:szCs w:val="20"/>
        </w:rPr>
        <w:t xml:space="preserve"> </w:t>
      </w:r>
      <w:r w:rsidRPr="00A72B35">
        <w:rPr>
          <w:rFonts w:ascii="Arial" w:hAnsi="Arial" w:cs="Arial"/>
          <w:b/>
          <w:sz w:val="20"/>
          <w:szCs w:val="20"/>
        </w:rPr>
        <w:t>Centralized treatment rate of sewage</w:t>
      </w:r>
      <w:r w:rsidRPr="00A72B35">
        <w:rPr>
          <w:rFonts w:ascii="Arial" w:hAnsi="Arial" w:cs="Arial"/>
          <w:b/>
          <w:bCs/>
          <w:sz w:val="20"/>
          <w:szCs w:val="20"/>
        </w:rPr>
        <w:t xml:space="preserve"> </w:t>
      </w:r>
      <w:r w:rsidRPr="00A72B35">
        <w:rPr>
          <w:rFonts w:ascii="Arial" w:hAnsi="Arial" w:cs="Arial"/>
          <w:b/>
          <w:sz w:val="20"/>
          <w:szCs w:val="20"/>
        </w:rPr>
        <w:t>(%)</w:t>
      </w:r>
    </w:p>
    <w:p w14:paraId="76EABF87" w14:textId="77777777"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percentage of domestic sewage that has been treated at the secondary level by the sewage treatment plant and has reached the discharge standard.</w:t>
      </w:r>
    </w:p>
    <w:p w14:paraId="26C29927" w14:textId="691BACCD" w:rsidR="00551F05" w:rsidRPr="00A72B35" w:rsidRDefault="00551F05" w:rsidP="00861B37">
      <w:pPr>
        <w:spacing w:line="480" w:lineRule="auto"/>
        <w:ind w:firstLineChars="200" w:firstLine="400"/>
        <w:rPr>
          <w:rFonts w:ascii="Arial" w:hAnsi="Arial" w:cs="Arial"/>
          <w:sz w:val="20"/>
          <w:szCs w:val="20"/>
        </w:rPr>
      </w:pPr>
      <w:r w:rsidRPr="00A72B35">
        <w:rPr>
          <w:rFonts w:ascii="Arial" w:hAnsi="Arial" w:cs="Arial"/>
          <w:sz w:val="20"/>
          <w:szCs w:val="20"/>
          <w:lang w:val="en"/>
        </w:rPr>
        <w:t xml:space="preserve">The secondary treatment of sewage is a process in which the sewage is further </w:t>
      </w:r>
      <w:r w:rsidR="00DC54E7">
        <w:rPr>
          <w:rFonts w:ascii="Arial" w:hAnsi="Arial" w:cs="Arial"/>
          <w:sz w:val="20"/>
          <w:szCs w:val="20"/>
          <w:lang w:val="en"/>
        </w:rPr>
        <w:t>processed via</w:t>
      </w:r>
      <w:r w:rsidRPr="00A72B35">
        <w:rPr>
          <w:rFonts w:ascii="Arial" w:hAnsi="Arial" w:cs="Arial"/>
          <w:sz w:val="20"/>
          <w:szCs w:val="20"/>
          <w:lang w:val="en"/>
        </w:rPr>
        <w:t xml:space="preserve"> treatment with an aeration tank and a sedimentation tank with activated sludge after primary treatment.</w:t>
      </w:r>
    </w:p>
    <w:p w14:paraId="127A316E" w14:textId="77777777" w:rsidR="00551F05" w:rsidRPr="00A72B35" w:rsidRDefault="00551F05" w:rsidP="00861B37">
      <w:pPr>
        <w:spacing w:line="480" w:lineRule="auto"/>
        <w:rPr>
          <w:rFonts w:ascii="Arial" w:hAnsi="Arial" w:cs="Arial"/>
          <w:sz w:val="20"/>
          <w:szCs w:val="20"/>
        </w:rPr>
      </w:pPr>
      <w:r w:rsidRPr="00A72B35">
        <w:rPr>
          <w:rFonts w:ascii="Arial" w:hAnsi="Arial" w:cs="Arial"/>
          <w:b/>
          <w:sz w:val="20"/>
          <w:szCs w:val="20"/>
        </w:rPr>
        <w:t>HCI 4:</w:t>
      </w:r>
      <w:r w:rsidRPr="00A72B35">
        <w:rPr>
          <w:rFonts w:ascii="Arial" w:hAnsi="Arial" w:cs="Arial"/>
          <w:sz w:val="20"/>
          <w:szCs w:val="20"/>
        </w:rPr>
        <w:t xml:space="preserve"> </w:t>
      </w:r>
      <w:r w:rsidRPr="00A72B35">
        <w:rPr>
          <w:rFonts w:ascii="Arial" w:hAnsi="Arial" w:cs="Arial"/>
          <w:b/>
          <w:bCs/>
          <w:sz w:val="20"/>
          <w:szCs w:val="20"/>
        </w:rPr>
        <w:t>Eligible rate of drinking wa</w:t>
      </w:r>
      <w:r w:rsidRPr="00A72B35">
        <w:rPr>
          <w:rFonts w:ascii="Arial" w:hAnsi="Arial" w:cs="Arial"/>
          <w:b/>
          <w:sz w:val="20"/>
          <w:szCs w:val="20"/>
        </w:rPr>
        <w:t>ter quality (%)</w:t>
      </w:r>
    </w:p>
    <w:p w14:paraId="74C70EA4" w14:textId="3E1A7906"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percentage of water sample </w:t>
      </w:r>
      <w:r w:rsidR="00DC54E7">
        <w:rPr>
          <w:rFonts w:ascii="Arial" w:hAnsi="Arial" w:cs="Arial"/>
          <w:sz w:val="20"/>
          <w:szCs w:val="20"/>
        </w:rPr>
        <w:t xml:space="preserve">at which the </w:t>
      </w:r>
      <w:r w:rsidRPr="00A72B35">
        <w:rPr>
          <w:rFonts w:ascii="Arial" w:hAnsi="Arial" w:cs="Arial"/>
          <w:sz w:val="20"/>
          <w:szCs w:val="20"/>
        </w:rPr>
        <w:t>quality of monitoring terminal water reaches the regular indices of the “Standards for drinking water quality</w:t>
      </w:r>
      <w:r w:rsidR="00DC54E7" w:rsidRPr="00A72B35">
        <w:rPr>
          <w:rFonts w:ascii="Arial" w:hAnsi="Arial" w:cs="Arial"/>
          <w:sz w:val="20"/>
          <w:szCs w:val="20"/>
        </w:rPr>
        <w:t>.</w:t>
      </w:r>
      <w:r w:rsidRPr="00A72B35">
        <w:rPr>
          <w:rFonts w:ascii="Arial" w:hAnsi="Arial" w:cs="Arial"/>
          <w:sz w:val="20"/>
          <w:szCs w:val="20"/>
        </w:rPr>
        <w:t>”</w:t>
      </w:r>
    </w:p>
    <w:p w14:paraId="1389A6F0"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5:</w:t>
      </w:r>
      <w:r w:rsidRPr="00A72B35">
        <w:rPr>
          <w:rFonts w:ascii="Arial" w:hAnsi="Arial" w:cs="Arial"/>
          <w:sz w:val="20"/>
          <w:szCs w:val="20"/>
        </w:rPr>
        <w:t xml:space="preserve"> </w:t>
      </w:r>
      <w:r w:rsidRPr="00A72B35">
        <w:rPr>
          <w:rFonts w:ascii="Arial" w:hAnsi="Arial" w:cs="Arial"/>
          <w:b/>
          <w:bCs/>
          <w:sz w:val="20"/>
          <w:szCs w:val="20"/>
        </w:rPr>
        <w:t>Qualified rate of water qu</w:t>
      </w:r>
      <w:r w:rsidRPr="00A72B35">
        <w:rPr>
          <w:rFonts w:ascii="Arial" w:hAnsi="Arial" w:cs="Arial"/>
          <w:b/>
          <w:sz w:val="20"/>
          <w:szCs w:val="20"/>
        </w:rPr>
        <w:t>ality in centralized drinking water sources (%)</w:t>
      </w:r>
    </w:p>
    <w:p w14:paraId="22D5F452" w14:textId="4A5E5D02"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proportion of quality centralized drinking water source</w:t>
      </w:r>
      <w:r w:rsidR="00DC54E7">
        <w:rPr>
          <w:rFonts w:ascii="Arial" w:hAnsi="Arial" w:cs="Arial"/>
          <w:sz w:val="20"/>
          <w:szCs w:val="20"/>
        </w:rPr>
        <w:t>s</w:t>
      </w:r>
      <w:r w:rsidRPr="00A72B35">
        <w:rPr>
          <w:rFonts w:ascii="Arial" w:hAnsi="Arial" w:cs="Arial"/>
          <w:sz w:val="20"/>
          <w:szCs w:val="20"/>
        </w:rPr>
        <w:t xml:space="preserve"> to the total number of water sources.</w:t>
      </w:r>
    </w:p>
    <w:p w14:paraId="050AAAEF"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6:</w:t>
      </w:r>
      <w:r w:rsidRPr="00A72B35">
        <w:rPr>
          <w:rFonts w:ascii="Arial" w:hAnsi="Arial" w:cs="Arial"/>
          <w:sz w:val="20"/>
          <w:szCs w:val="20"/>
        </w:rPr>
        <w:t xml:space="preserve"> </w:t>
      </w:r>
      <w:r w:rsidRPr="00A72B35">
        <w:rPr>
          <w:rFonts w:ascii="Arial" w:hAnsi="Arial" w:cs="Arial"/>
          <w:b/>
          <w:sz w:val="20"/>
          <w:szCs w:val="20"/>
        </w:rPr>
        <w:t xml:space="preserve">Harmless disposal rate of household refuse (%) </w:t>
      </w:r>
    </w:p>
    <w:p w14:paraId="054C4EB2" w14:textId="0CD2E7B3"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ratio of the amount of harmless household refuse </w:t>
      </w:r>
      <w:r w:rsidR="0024458E">
        <w:rPr>
          <w:rFonts w:ascii="Arial" w:hAnsi="Arial" w:cs="Arial"/>
          <w:sz w:val="20"/>
          <w:szCs w:val="20"/>
        </w:rPr>
        <w:t xml:space="preserve">disposed </w:t>
      </w:r>
      <w:r w:rsidRPr="00A72B35">
        <w:rPr>
          <w:rFonts w:ascii="Arial" w:hAnsi="Arial" w:cs="Arial"/>
          <w:sz w:val="20"/>
          <w:szCs w:val="20"/>
        </w:rPr>
        <w:t>to the total amount of urban household refuse.</w:t>
      </w:r>
    </w:p>
    <w:p w14:paraId="5B73BB29" w14:textId="77777777" w:rsidR="00551F05" w:rsidRPr="00A72B35" w:rsidRDefault="00551F05" w:rsidP="00861B37">
      <w:pPr>
        <w:spacing w:line="480" w:lineRule="auto"/>
        <w:rPr>
          <w:rFonts w:ascii="Arial" w:hAnsi="Arial" w:cs="Arial"/>
          <w:sz w:val="20"/>
          <w:szCs w:val="20"/>
        </w:rPr>
      </w:pPr>
      <w:r w:rsidRPr="00A72B35">
        <w:rPr>
          <w:rFonts w:ascii="Arial" w:hAnsi="Arial" w:cs="Arial"/>
          <w:b/>
          <w:sz w:val="20"/>
          <w:szCs w:val="20"/>
        </w:rPr>
        <w:t>UHI 7:</w:t>
      </w:r>
      <w:r w:rsidRPr="00A72B35">
        <w:rPr>
          <w:rFonts w:ascii="Arial" w:hAnsi="Arial" w:cs="Arial"/>
          <w:b/>
          <w:bCs/>
          <w:sz w:val="20"/>
          <w:szCs w:val="20"/>
        </w:rPr>
        <w:t xml:space="preserve"> </w:t>
      </w:r>
      <w:r w:rsidRPr="00A72B35">
        <w:rPr>
          <w:rFonts w:ascii="Arial" w:hAnsi="Arial" w:cs="Arial"/>
          <w:b/>
          <w:sz w:val="20"/>
          <w:szCs w:val="20"/>
        </w:rPr>
        <w:t>Per capita</w:t>
      </w:r>
      <w:r w:rsidRPr="00A72B35">
        <w:rPr>
          <w:rFonts w:ascii="Arial" w:hAnsi="Arial" w:cs="Arial"/>
          <w:b/>
          <w:bCs/>
          <w:sz w:val="20"/>
          <w:szCs w:val="20"/>
        </w:rPr>
        <w:t xml:space="preserve"> par</w:t>
      </w:r>
      <w:r w:rsidRPr="00A72B35">
        <w:rPr>
          <w:rFonts w:ascii="Arial" w:hAnsi="Arial" w:cs="Arial"/>
          <w:b/>
          <w:sz w:val="20"/>
          <w:szCs w:val="20"/>
        </w:rPr>
        <w:t>k greenbelt area (m</w:t>
      </w:r>
      <w:r w:rsidRPr="00A72B35">
        <w:rPr>
          <w:rFonts w:ascii="Arial" w:hAnsi="Arial" w:cs="Arial"/>
          <w:b/>
          <w:sz w:val="20"/>
          <w:szCs w:val="20"/>
          <w:vertAlign w:val="superscript"/>
        </w:rPr>
        <w:t>2</w:t>
      </w:r>
      <w:r w:rsidRPr="00A72B35">
        <w:rPr>
          <w:rFonts w:ascii="Arial" w:hAnsi="Arial" w:cs="Arial"/>
          <w:b/>
          <w:sz w:val="20"/>
          <w:szCs w:val="20"/>
        </w:rPr>
        <w:t>/person)</w:t>
      </w:r>
    </w:p>
    <w:p w14:paraId="01DFEC17" w14:textId="1FEA4AC5"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Surface area of green space in parks in </w:t>
      </w:r>
      <w:r w:rsidR="0024458E">
        <w:rPr>
          <w:rFonts w:ascii="Arial" w:hAnsi="Arial" w:cs="Arial"/>
          <w:sz w:val="20"/>
          <w:szCs w:val="20"/>
        </w:rPr>
        <w:t xml:space="preserve">a </w:t>
      </w:r>
      <w:r w:rsidRPr="00A72B35">
        <w:rPr>
          <w:rFonts w:ascii="Arial" w:hAnsi="Arial" w:cs="Arial"/>
          <w:sz w:val="20"/>
          <w:szCs w:val="20"/>
        </w:rPr>
        <w:t xml:space="preserve">built-up area, expressed in square meters per person. </w:t>
      </w:r>
    </w:p>
    <w:p w14:paraId="0670D9D1" w14:textId="120F88BC"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8:</w:t>
      </w:r>
      <w:r w:rsidRPr="00A72B35">
        <w:rPr>
          <w:rFonts w:ascii="Arial" w:hAnsi="Arial" w:cs="Arial"/>
          <w:sz w:val="20"/>
          <w:szCs w:val="20"/>
        </w:rPr>
        <w:t xml:space="preserve"> </w:t>
      </w:r>
      <w:r w:rsidRPr="00A72B35">
        <w:rPr>
          <w:rFonts w:ascii="Arial" w:hAnsi="Arial" w:cs="Arial"/>
          <w:b/>
          <w:bCs/>
          <w:sz w:val="20"/>
          <w:szCs w:val="20"/>
        </w:rPr>
        <w:t xml:space="preserve">Density of Public toilet </w:t>
      </w:r>
      <w:r w:rsidRPr="00A72B35">
        <w:rPr>
          <w:rFonts w:ascii="Arial" w:hAnsi="Arial" w:cs="Arial"/>
          <w:b/>
          <w:sz w:val="20"/>
          <w:szCs w:val="20"/>
        </w:rPr>
        <w:t>(seats/km</w:t>
      </w:r>
      <w:r w:rsidRPr="00A72B35">
        <w:rPr>
          <w:rFonts w:ascii="Arial" w:hAnsi="Arial" w:cs="Arial"/>
          <w:b/>
          <w:sz w:val="20"/>
          <w:szCs w:val="20"/>
          <w:vertAlign w:val="superscript"/>
        </w:rPr>
        <w:t>2</w:t>
      </w:r>
      <w:r w:rsidRPr="00A72B35">
        <w:rPr>
          <w:rFonts w:ascii="Arial" w:hAnsi="Arial" w:cs="Arial"/>
          <w:b/>
          <w:sz w:val="20"/>
          <w:szCs w:val="20"/>
        </w:rPr>
        <w:t>)</w:t>
      </w:r>
    </w:p>
    <w:p w14:paraId="3260E7E4"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Definition: The number of public toilets per unit area of the built-up area,</w:t>
      </w:r>
      <w:r w:rsidRPr="00A72B35">
        <w:rPr>
          <w:rFonts w:ascii="Arial" w:hAnsi="Arial" w:cs="Arial"/>
          <w:sz w:val="20"/>
          <w:szCs w:val="20"/>
        </w:rPr>
        <w:t xml:space="preserve"> by seats per square </w:t>
      </w:r>
      <w:r w:rsidRPr="00A72B35">
        <w:rPr>
          <w:rFonts w:ascii="Arial" w:hAnsi="Arial" w:cs="Arial"/>
          <w:sz w:val="20"/>
          <w:szCs w:val="20"/>
        </w:rPr>
        <w:lastRenderedPageBreak/>
        <w:t>kilometer.</w:t>
      </w:r>
    </w:p>
    <w:p w14:paraId="4AACF2CE" w14:textId="28442244"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9:</w:t>
      </w:r>
      <w:r w:rsidRPr="00A72B35">
        <w:rPr>
          <w:rFonts w:ascii="Arial" w:hAnsi="Arial" w:cs="Arial"/>
          <w:sz w:val="20"/>
          <w:szCs w:val="20"/>
        </w:rPr>
        <w:t xml:space="preserve"> </w:t>
      </w:r>
      <w:r w:rsidRPr="00A72B35">
        <w:rPr>
          <w:rFonts w:ascii="Arial" w:hAnsi="Arial" w:cs="Arial"/>
          <w:b/>
          <w:bCs/>
          <w:sz w:val="20"/>
          <w:szCs w:val="20"/>
        </w:rPr>
        <w:t>Reg</w:t>
      </w:r>
      <w:r w:rsidRPr="00A72B35">
        <w:rPr>
          <w:rFonts w:ascii="Arial" w:hAnsi="Arial" w:cs="Arial"/>
          <w:b/>
          <w:sz w:val="20"/>
          <w:szCs w:val="20"/>
        </w:rPr>
        <w:t>ional ambient noise (</w:t>
      </w:r>
      <w:r w:rsidR="0024458E">
        <w:rPr>
          <w:rFonts w:ascii="Arial" w:hAnsi="Arial" w:cs="Arial"/>
          <w:b/>
          <w:sz w:val="20"/>
          <w:szCs w:val="20"/>
        </w:rPr>
        <w:t>d</w:t>
      </w:r>
      <w:r w:rsidR="0024458E" w:rsidRPr="00A72B35">
        <w:rPr>
          <w:rFonts w:ascii="Arial" w:hAnsi="Arial" w:cs="Arial"/>
          <w:b/>
          <w:sz w:val="20"/>
          <w:szCs w:val="20"/>
        </w:rPr>
        <w:t>aytime</w:t>
      </w:r>
      <w:r w:rsidRPr="00A72B35">
        <w:rPr>
          <w:rFonts w:ascii="Arial" w:hAnsi="Arial" w:cs="Arial"/>
          <w:b/>
          <w:sz w:val="20"/>
          <w:szCs w:val="20"/>
        </w:rPr>
        <w:t>/</w:t>
      </w:r>
      <w:r w:rsidR="0024458E">
        <w:rPr>
          <w:rFonts w:ascii="Arial" w:hAnsi="Arial" w:cs="Arial"/>
          <w:b/>
          <w:sz w:val="20"/>
          <w:szCs w:val="20"/>
        </w:rPr>
        <w:t>n</w:t>
      </w:r>
      <w:r w:rsidR="0024458E" w:rsidRPr="00A72B35">
        <w:rPr>
          <w:rFonts w:ascii="Arial" w:hAnsi="Arial" w:cs="Arial"/>
          <w:b/>
          <w:sz w:val="20"/>
          <w:szCs w:val="20"/>
        </w:rPr>
        <w:t>ighttime</w:t>
      </w:r>
      <w:r w:rsidRPr="00A72B35">
        <w:rPr>
          <w:rFonts w:ascii="Arial" w:hAnsi="Arial" w:cs="Arial"/>
          <w:b/>
          <w:sz w:val="20"/>
          <w:szCs w:val="20"/>
        </w:rPr>
        <w:t xml:space="preserve">) (dB) </w:t>
      </w:r>
    </w:p>
    <w:p w14:paraId="67EBA362" w14:textId="58E35A0D"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Definition: The average value of ambient noise during daytime and nighttime in various urban areas.</w:t>
      </w:r>
    </w:p>
    <w:p w14:paraId="55E7E754"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10:</w:t>
      </w:r>
      <w:r w:rsidRPr="00A72B35">
        <w:rPr>
          <w:rFonts w:ascii="Arial" w:hAnsi="Arial" w:cs="Arial"/>
          <w:b/>
          <w:bCs/>
          <w:sz w:val="20"/>
          <w:szCs w:val="20"/>
        </w:rPr>
        <w:t xml:space="preserve"> Urban road lighting rate (%)</w:t>
      </w:r>
    </w:p>
    <w:p w14:paraId="3CA25D9A"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Definition: The proportion of urban main roads with lighting.</w:t>
      </w:r>
    </w:p>
    <w:p w14:paraId="3BEDBFDA"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11: Green coverage rate in built-up areas (%)</w:t>
      </w:r>
    </w:p>
    <w:p w14:paraId="2AE5DF0B" w14:textId="6E578984"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green coverage rate of the built-up area refers to the green coverage area in the built-up area of the city as a percentage of the </w:t>
      </w:r>
      <w:r w:rsidR="0024458E">
        <w:rPr>
          <w:rFonts w:ascii="Arial" w:hAnsi="Arial" w:cs="Arial"/>
          <w:sz w:val="20"/>
          <w:szCs w:val="20"/>
        </w:rPr>
        <w:t xml:space="preserve">total </w:t>
      </w:r>
      <w:r w:rsidRPr="00A72B35">
        <w:rPr>
          <w:rFonts w:ascii="Arial" w:hAnsi="Arial" w:cs="Arial"/>
          <w:sz w:val="20"/>
          <w:szCs w:val="20"/>
        </w:rPr>
        <w:t>built-up area.</w:t>
      </w:r>
      <w:r w:rsidRPr="00A72B35">
        <w:rPr>
          <w:rFonts w:ascii="Arial" w:hAnsi="Arial" w:cs="Arial"/>
          <w:sz w:val="20"/>
          <w:szCs w:val="20"/>
        </w:rPr>
        <w:br/>
        <w:t xml:space="preserve">    The green coverage area refers to the vertical projected area of all </w:t>
      </w:r>
      <w:r w:rsidR="0024458E">
        <w:rPr>
          <w:rFonts w:ascii="Arial" w:hAnsi="Arial" w:cs="Arial"/>
          <w:sz w:val="20"/>
          <w:szCs w:val="20"/>
        </w:rPr>
        <w:t xml:space="preserve">kinds of </w:t>
      </w:r>
      <w:r w:rsidRPr="00A72B35">
        <w:rPr>
          <w:rFonts w:ascii="Arial" w:hAnsi="Arial" w:cs="Arial"/>
          <w:sz w:val="20"/>
          <w:szCs w:val="20"/>
        </w:rPr>
        <w:t>vegetation</w:t>
      </w:r>
      <w:r w:rsidR="0024458E">
        <w:rPr>
          <w:rFonts w:ascii="Arial" w:hAnsi="Arial" w:cs="Arial"/>
          <w:sz w:val="20"/>
          <w:szCs w:val="20"/>
        </w:rPr>
        <w:t>,</w:t>
      </w:r>
      <w:r w:rsidRPr="00A72B35">
        <w:rPr>
          <w:rFonts w:ascii="Arial" w:hAnsi="Arial" w:cs="Arial"/>
          <w:sz w:val="20"/>
          <w:szCs w:val="20"/>
        </w:rPr>
        <w:t xml:space="preserve"> such as trees, shrubs</w:t>
      </w:r>
      <w:r w:rsidR="0024458E">
        <w:rPr>
          <w:rFonts w:ascii="Arial" w:hAnsi="Arial" w:cs="Arial"/>
          <w:sz w:val="20"/>
          <w:szCs w:val="20"/>
        </w:rPr>
        <w:t>,</w:t>
      </w:r>
      <w:r w:rsidRPr="00A72B35">
        <w:rPr>
          <w:rFonts w:ascii="Arial" w:hAnsi="Arial" w:cs="Arial"/>
          <w:sz w:val="20"/>
          <w:szCs w:val="20"/>
        </w:rPr>
        <w:t xml:space="preserve"> and lawns in the city. The built-up area refers to the non-agricultural production and construction area that has been developed through the expropriation of land and actual construction within the administrative area of the city. </w:t>
      </w:r>
      <w:r w:rsidR="0024458E">
        <w:rPr>
          <w:rFonts w:ascii="Arial" w:hAnsi="Arial" w:cs="Arial"/>
          <w:sz w:val="20"/>
          <w:szCs w:val="20"/>
        </w:rPr>
        <w:t>This area</w:t>
      </w:r>
      <w:r w:rsidR="0024458E" w:rsidRPr="00A72B35">
        <w:rPr>
          <w:rFonts w:ascii="Arial" w:hAnsi="Arial" w:cs="Arial"/>
          <w:sz w:val="20"/>
          <w:szCs w:val="20"/>
        </w:rPr>
        <w:t xml:space="preserve"> </w:t>
      </w:r>
      <w:r w:rsidRPr="00A72B35">
        <w:rPr>
          <w:rFonts w:ascii="Arial" w:hAnsi="Arial" w:cs="Arial"/>
          <w:sz w:val="20"/>
          <w:szCs w:val="20"/>
        </w:rPr>
        <w:t xml:space="preserve">includes the part of the urban area that is concentrated and contiguous and is closely related to the city in the suburbs. Urban construction land </w:t>
      </w:r>
      <w:r w:rsidR="0024458E">
        <w:rPr>
          <w:rFonts w:ascii="Arial" w:hAnsi="Arial" w:cs="Arial"/>
          <w:sz w:val="20"/>
          <w:szCs w:val="20"/>
        </w:rPr>
        <w:t xml:space="preserve">includes those used </w:t>
      </w:r>
      <w:r w:rsidRPr="00A72B35">
        <w:rPr>
          <w:rFonts w:ascii="Arial" w:hAnsi="Arial" w:cs="Arial"/>
          <w:sz w:val="20"/>
          <w:szCs w:val="20"/>
        </w:rPr>
        <w:t xml:space="preserve">for </w:t>
      </w:r>
      <w:r w:rsidR="0024458E">
        <w:rPr>
          <w:rFonts w:ascii="Arial" w:hAnsi="Arial" w:cs="Arial"/>
          <w:sz w:val="20"/>
          <w:szCs w:val="20"/>
        </w:rPr>
        <w:t xml:space="preserve">such </w:t>
      </w:r>
      <w:r w:rsidRPr="00A72B35">
        <w:rPr>
          <w:rFonts w:ascii="Arial" w:hAnsi="Arial" w:cs="Arial"/>
          <w:sz w:val="20"/>
          <w:szCs w:val="20"/>
        </w:rPr>
        <w:t xml:space="preserve">facilities as airports, railway marshalling stations, sewage treatment plants, </w:t>
      </w:r>
      <w:r w:rsidR="0024458E">
        <w:rPr>
          <w:rFonts w:ascii="Arial" w:hAnsi="Arial" w:cs="Arial"/>
          <w:sz w:val="20"/>
          <w:szCs w:val="20"/>
        </w:rPr>
        <w:t xml:space="preserve">and </w:t>
      </w:r>
      <w:r w:rsidRPr="00A72B35">
        <w:rPr>
          <w:rFonts w:ascii="Arial" w:hAnsi="Arial" w:cs="Arial"/>
          <w:sz w:val="20"/>
          <w:szCs w:val="20"/>
        </w:rPr>
        <w:t xml:space="preserve">communication stations. </w:t>
      </w:r>
    </w:p>
    <w:p w14:paraId="4FAA8276"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12: Vector density control level (%)</w:t>
      </w:r>
    </w:p>
    <w:p w14:paraId="5B5BBE0F" w14:textId="77777777"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proportion of the main vector organisms, rats, mosquitoes, flies and cockroaches with a density control level of B and above.</w:t>
      </w:r>
    </w:p>
    <w:p w14:paraId="69973371" w14:textId="2F4386CA"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13: </w:t>
      </w:r>
      <w:r w:rsidR="0024458E">
        <w:rPr>
          <w:rFonts w:ascii="Arial" w:hAnsi="Arial" w:cs="Arial"/>
          <w:b/>
          <w:sz w:val="20"/>
          <w:szCs w:val="20"/>
        </w:rPr>
        <w:t>C</w:t>
      </w:r>
      <w:r w:rsidRPr="00A72B35">
        <w:rPr>
          <w:rFonts w:ascii="Arial" w:hAnsi="Arial" w:cs="Arial"/>
          <w:b/>
          <w:sz w:val="20"/>
          <w:szCs w:val="20"/>
        </w:rPr>
        <w:t>overage rate of basic endowment insurance (%)</w:t>
      </w:r>
    </w:p>
    <w:p w14:paraId="689D68C4" w14:textId="4C96B458"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ratio of the number of </w:t>
      </w:r>
      <w:r w:rsidR="0024458E">
        <w:rPr>
          <w:rFonts w:ascii="Arial" w:hAnsi="Arial" w:cs="Arial"/>
          <w:sz w:val="20"/>
          <w:szCs w:val="20"/>
        </w:rPr>
        <w:t xml:space="preserve">actual </w:t>
      </w:r>
      <w:r w:rsidRPr="00A72B35">
        <w:rPr>
          <w:rFonts w:ascii="Arial" w:hAnsi="Arial" w:cs="Arial"/>
          <w:sz w:val="20"/>
          <w:szCs w:val="20"/>
        </w:rPr>
        <w:t>insured persons to the number of residents included in the basic endowment insurance coverage.</w:t>
      </w:r>
    </w:p>
    <w:p w14:paraId="79C90490"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14: Rate of medical insurance participation (%)</w:t>
      </w:r>
    </w:p>
    <w:p w14:paraId="2FC0EE97" w14:textId="3076C265"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w:t>
      </w:r>
      <w:r w:rsidR="0024458E">
        <w:rPr>
          <w:rFonts w:ascii="Arial" w:hAnsi="Arial" w:cs="Arial"/>
          <w:sz w:val="20"/>
          <w:szCs w:val="20"/>
        </w:rPr>
        <w:t xml:space="preserve">percentage of the </w:t>
      </w:r>
      <w:r w:rsidRPr="00A72B35">
        <w:rPr>
          <w:rFonts w:ascii="Arial" w:hAnsi="Arial" w:cs="Arial"/>
          <w:sz w:val="20"/>
          <w:szCs w:val="20"/>
        </w:rPr>
        <w:t xml:space="preserve">people who </w:t>
      </w:r>
      <w:r w:rsidR="0024458E">
        <w:rPr>
          <w:rFonts w:ascii="Arial" w:hAnsi="Arial" w:cs="Arial"/>
          <w:sz w:val="20"/>
          <w:szCs w:val="20"/>
        </w:rPr>
        <w:t>actually</w:t>
      </w:r>
      <w:r w:rsidR="0024458E" w:rsidRPr="00A72B35">
        <w:rPr>
          <w:rFonts w:ascii="Arial" w:hAnsi="Arial" w:cs="Arial"/>
          <w:sz w:val="20"/>
          <w:szCs w:val="20"/>
        </w:rPr>
        <w:t xml:space="preserve"> </w:t>
      </w:r>
      <w:r w:rsidRPr="00A72B35">
        <w:rPr>
          <w:rFonts w:ascii="Arial" w:hAnsi="Arial" w:cs="Arial"/>
          <w:sz w:val="20"/>
          <w:szCs w:val="20"/>
        </w:rPr>
        <w:t xml:space="preserve">participated in medical insurance </w:t>
      </w:r>
      <w:r w:rsidR="0024458E">
        <w:rPr>
          <w:rFonts w:ascii="Arial" w:hAnsi="Arial" w:cs="Arial"/>
          <w:sz w:val="20"/>
          <w:szCs w:val="20"/>
        </w:rPr>
        <w:t xml:space="preserve">compared with </w:t>
      </w:r>
      <w:r w:rsidRPr="00A72B35">
        <w:rPr>
          <w:rFonts w:ascii="Arial" w:hAnsi="Arial" w:cs="Arial"/>
          <w:sz w:val="20"/>
          <w:szCs w:val="20"/>
        </w:rPr>
        <w:t>the total number of people who should participate in medical insurance.</w:t>
      </w:r>
    </w:p>
    <w:p w14:paraId="178DEE73" w14:textId="77777777" w:rsidR="00551F05" w:rsidRPr="00A72B35" w:rsidRDefault="00551F05" w:rsidP="00861B37">
      <w:pPr>
        <w:spacing w:line="480" w:lineRule="auto"/>
        <w:rPr>
          <w:rFonts w:ascii="Arial" w:hAnsi="Arial" w:cs="Arial"/>
          <w:b/>
          <w:bCs/>
          <w:sz w:val="20"/>
          <w:szCs w:val="20"/>
        </w:rPr>
      </w:pPr>
      <w:r w:rsidRPr="00A72B35">
        <w:rPr>
          <w:rFonts w:ascii="Arial" w:hAnsi="Arial" w:cs="Arial"/>
          <w:b/>
          <w:bCs/>
          <w:sz w:val="20"/>
          <w:szCs w:val="20"/>
        </w:rPr>
        <w:t>HCI 15:</w:t>
      </w:r>
      <w:r w:rsidRPr="00A72B35">
        <w:rPr>
          <w:rFonts w:ascii="Arial" w:hAnsi="Arial" w:cs="Arial"/>
          <w:b/>
          <w:sz w:val="20"/>
          <w:szCs w:val="20"/>
        </w:rPr>
        <w:t xml:space="preserve"> C</w:t>
      </w:r>
      <w:r w:rsidRPr="00A72B35">
        <w:rPr>
          <w:rFonts w:ascii="Arial" w:hAnsi="Arial" w:cs="Arial"/>
          <w:b/>
          <w:bCs/>
          <w:sz w:val="20"/>
          <w:szCs w:val="20"/>
        </w:rPr>
        <w:t>ivil medical assistance for the minimum living security crowd</w:t>
      </w:r>
    </w:p>
    <w:p w14:paraId="3B017237" w14:textId="18FF2F89"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w:t>
      </w:r>
      <w:r w:rsidRPr="00A72B35">
        <w:rPr>
          <w:rFonts w:ascii="Arial" w:hAnsi="Arial" w:cs="Arial"/>
          <w:b/>
          <w:sz w:val="20"/>
          <w:szCs w:val="20"/>
        </w:rPr>
        <w:t xml:space="preserve"> </w:t>
      </w:r>
      <w:r w:rsidRPr="00A72B35">
        <w:rPr>
          <w:rFonts w:ascii="Arial" w:hAnsi="Arial" w:cs="Arial"/>
          <w:sz w:val="20"/>
          <w:szCs w:val="20"/>
        </w:rPr>
        <w:t>The number of people with</w:t>
      </w:r>
      <w:r w:rsidR="0024458E" w:rsidRPr="0024458E">
        <w:rPr>
          <w:rFonts w:ascii="Arial" w:hAnsi="Arial" w:cs="Arial"/>
          <w:sz w:val="20"/>
          <w:szCs w:val="20"/>
        </w:rPr>
        <w:t xml:space="preserve"> </w:t>
      </w:r>
      <w:r w:rsidR="0024458E" w:rsidRPr="00A72B35">
        <w:rPr>
          <w:rFonts w:ascii="Arial" w:hAnsi="Arial" w:cs="Arial"/>
          <w:sz w:val="20"/>
          <w:szCs w:val="20"/>
        </w:rPr>
        <w:t>minimum living security</w:t>
      </w:r>
      <w:r w:rsidRPr="00A72B35">
        <w:rPr>
          <w:rFonts w:ascii="Arial" w:hAnsi="Arial" w:cs="Arial"/>
          <w:sz w:val="20"/>
          <w:szCs w:val="20"/>
        </w:rPr>
        <w:t xml:space="preserve"> </w:t>
      </w:r>
      <w:r w:rsidR="0024458E">
        <w:rPr>
          <w:rFonts w:ascii="Arial" w:hAnsi="Arial" w:cs="Arial"/>
          <w:sz w:val="20"/>
          <w:szCs w:val="20"/>
        </w:rPr>
        <w:t xml:space="preserve">enjoying </w:t>
      </w:r>
      <w:r w:rsidRPr="00A72B35">
        <w:rPr>
          <w:rFonts w:ascii="Arial" w:hAnsi="Arial" w:cs="Arial"/>
          <w:sz w:val="20"/>
          <w:szCs w:val="20"/>
        </w:rPr>
        <w:t xml:space="preserve">civil medical assistance.  </w:t>
      </w:r>
      <w:r w:rsidRPr="00A72B35">
        <w:rPr>
          <w:rFonts w:ascii="Arial" w:hAnsi="Arial" w:cs="Arial"/>
          <w:sz w:val="20"/>
          <w:szCs w:val="20"/>
          <w:highlight w:val="yellow"/>
        </w:rPr>
        <w:br/>
      </w:r>
      <w:r w:rsidRPr="00A72B35">
        <w:rPr>
          <w:rFonts w:ascii="Arial" w:hAnsi="Arial" w:cs="Arial"/>
          <w:b/>
          <w:bCs/>
          <w:sz w:val="20"/>
          <w:szCs w:val="20"/>
        </w:rPr>
        <w:t xml:space="preserve">HCI 16: </w:t>
      </w:r>
      <w:r w:rsidR="0024458E">
        <w:rPr>
          <w:rFonts w:ascii="Arial" w:hAnsi="Arial" w:cs="Arial"/>
          <w:b/>
          <w:bCs/>
          <w:sz w:val="20"/>
          <w:szCs w:val="20"/>
        </w:rPr>
        <w:t>E</w:t>
      </w:r>
      <w:r w:rsidRPr="00A72B35">
        <w:rPr>
          <w:rFonts w:ascii="Arial" w:hAnsi="Arial" w:cs="Arial"/>
          <w:b/>
          <w:bCs/>
          <w:sz w:val="20"/>
          <w:szCs w:val="20"/>
        </w:rPr>
        <w:t>mp</w:t>
      </w:r>
      <w:r w:rsidRPr="00A72B35">
        <w:rPr>
          <w:rFonts w:ascii="Arial" w:hAnsi="Arial" w:cs="Arial"/>
          <w:b/>
          <w:sz w:val="20"/>
          <w:szCs w:val="20"/>
        </w:rPr>
        <w:t>loyment rate of the disabled (%)</w:t>
      </w:r>
    </w:p>
    <w:p w14:paraId="418789E9" w14:textId="10CF579D"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w:t>
      </w:r>
      <w:r w:rsidR="0024458E">
        <w:rPr>
          <w:rFonts w:ascii="Arial" w:hAnsi="Arial" w:cs="Arial"/>
          <w:sz w:val="20"/>
          <w:szCs w:val="20"/>
        </w:rPr>
        <w:t>The percentage of</w:t>
      </w:r>
      <w:r w:rsidR="0024458E" w:rsidRPr="00A72B35">
        <w:rPr>
          <w:rFonts w:ascii="Arial" w:hAnsi="Arial" w:cs="Arial"/>
          <w:sz w:val="20"/>
          <w:szCs w:val="20"/>
        </w:rPr>
        <w:t xml:space="preserve"> </w:t>
      </w:r>
      <w:r w:rsidRPr="00A72B35">
        <w:rPr>
          <w:rFonts w:ascii="Arial" w:hAnsi="Arial" w:cs="Arial"/>
          <w:sz w:val="20"/>
          <w:szCs w:val="20"/>
        </w:rPr>
        <w:t>disabled people who are employed.</w:t>
      </w:r>
    </w:p>
    <w:p w14:paraId="07C298FF"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lastRenderedPageBreak/>
        <w:t>HCI 17: Registered unemployment rate (%)</w:t>
      </w:r>
    </w:p>
    <w:p w14:paraId="1CE9D064" w14:textId="2D8B2454" w:rsidR="00C464B6" w:rsidRDefault="00551F05" w:rsidP="00861B37">
      <w:pPr>
        <w:spacing w:line="480" w:lineRule="auto"/>
        <w:rPr>
          <w:rFonts w:ascii="Arial" w:hAnsi="Arial" w:cs="Arial"/>
          <w:sz w:val="20"/>
          <w:szCs w:val="20"/>
        </w:rPr>
      </w:pPr>
      <w:r w:rsidRPr="00A72B35">
        <w:rPr>
          <w:rFonts w:ascii="Arial" w:hAnsi="Arial" w:cs="Arial"/>
          <w:sz w:val="20"/>
          <w:szCs w:val="20"/>
        </w:rPr>
        <w:t>Definition: At the end of the reporting period, the number of registered unemployed persons</w:t>
      </w:r>
      <w:r w:rsidR="0024458E">
        <w:rPr>
          <w:rFonts w:ascii="Arial" w:hAnsi="Arial" w:cs="Arial"/>
          <w:sz w:val="20"/>
          <w:szCs w:val="20"/>
        </w:rPr>
        <w:t xml:space="preserve"> in urban areas</w:t>
      </w:r>
      <w:r w:rsidRPr="00A72B35">
        <w:rPr>
          <w:rFonts w:ascii="Arial" w:hAnsi="Arial" w:cs="Arial"/>
          <w:sz w:val="20"/>
          <w:szCs w:val="20"/>
        </w:rPr>
        <w:t xml:space="preserve"> accounted for the proportion of the total number of urban employees and registered unemployed persons.</w:t>
      </w:r>
    </w:p>
    <w:p w14:paraId="4F7430F3" w14:textId="0F0B286B"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    The urban registered unemployment rate is a</w:t>
      </w:r>
      <w:r w:rsidR="00C464B6">
        <w:rPr>
          <w:rFonts w:ascii="Arial" w:hAnsi="Arial" w:cs="Arial"/>
          <w:sz w:val="20"/>
          <w:szCs w:val="20"/>
        </w:rPr>
        <w:t>n</w:t>
      </w:r>
      <w:r w:rsidRPr="00A72B35">
        <w:rPr>
          <w:rFonts w:ascii="Arial" w:hAnsi="Arial" w:cs="Arial"/>
          <w:sz w:val="20"/>
          <w:szCs w:val="20"/>
        </w:rPr>
        <w:t xml:space="preserve"> unemployment situation statistical indicator</w:t>
      </w:r>
      <w:r w:rsidR="00C464B6">
        <w:rPr>
          <w:rFonts w:ascii="Arial" w:hAnsi="Arial" w:cs="Arial"/>
          <w:sz w:val="20"/>
          <w:szCs w:val="20"/>
        </w:rPr>
        <w:t xml:space="preserve"> that is unique in China</w:t>
      </w:r>
      <w:r w:rsidRPr="00A72B35">
        <w:rPr>
          <w:rFonts w:ascii="Arial" w:hAnsi="Arial" w:cs="Arial"/>
          <w:sz w:val="20"/>
          <w:szCs w:val="20"/>
        </w:rPr>
        <w:t xml:space="preserve">. Urban registered unemployed persons refer to urban inhabitants who are available and eligible for employment but are unemployed and register for unemployment in public employment service agencies within the working age (16 years old to retirement age). </w:t>
      </w:r>
    </w:p>
    <w:p w14:paraId="3786AA9A" w14:textId="3A1A501C"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18: </w:t>
      </w:r>
      <w:r w:rsidR="00C464B6">
        <w:rPr>
          <w:rFonts w:ascii="Arial" w:hAnsi="Arial" w:cs="Arial"/>
          <w:b/>
          <w:sz w:val="20"/>
          <w:szCs w:val="20"/>
        </w:rPr>
        <w:t>C</w:t>
      </w:r>
      <w:r w:rsidRPr="00A72B35">
        <w:rPr>
          <w:rFonts w:ascii="Arial" w:hAnsi="Arial" w:cs="Arial"/>
          <w:b/>
          <w:sz w:val="20"/>
          <w:szCs w:val="20"/>
        </w:rPr>
        <w:t>overage rate of accessibility facilities (%)</w:t>
      </w:r>
    </w:p>
    <w:p w14:paraId="444BA4FF" w14:textId="1E8027B4"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Definition: </w:t>
      </w:r>
      <w:r w:rsidR="00C464B6">
        <w:rPr>
          <w:rFonts w:ascii="Arial" w:hAnsi="Arial" w:cs="Arial"/>
          <w:bCs/>
          <w:sz w:val="20"/>
          <w:szCs w:val="20"/>
        </w:rPr>
        <w:t>The percentage of</w:t>
      </w:r>
      <w:r w:rsidR="00C464B6" w:rsidRPr="00A72B35">
        <w:rPr>
          <w:rFonts w:ascii="Arial" w:hAnsi="Arial" w:cs="Arial"/>
          <w:bCs/>
          <w:sz w:val="20"/>
          <w:szCs w:val="20"/>
        </w:rPr>
        <w:t xml:space="preserve"> </w:t>
      </w:r>
      <w:r w:rsidRPr="00A72B35">
        <w:rPr>
          <w:rFonts w:ascii="Arial" w:hAnsi="Arial" w:cs="Arial"/>
          <w:bCs/>
          <w:sz w:val="20"/>
          <w:szCs w:val="20"/>
        </w:rPr>
        <w:t>supporting service facilities in construction projects is covered.</w:t>
      </w:r>
    </w:p>
    <w:p w14:paraId="25059651" w14:textId="053E492D" w:rsidR="00551F05" w:rsidRPr="00A72B35" w:rsidRDefault="00551F05" w:rsidP="00861B37">
      <w:pPr>
        <w:spacing w:line="480" w:lineRule="auto"/>
        <w:ind w:firstLineChars="200" w:firstLine="400"/>
        <w:rPr>
          <w:rFonts w:ascii="Arial" w:hAnsi="Arial" w:cs="Arial"/>
          <w:b/>
          <w:sz w:val="20"/>
          <w:szCs w:val="20"/>
        </w:rPr>
      </w:pPr>
      <w:r w:rsidRPr="00A72B35">
        <w:rPr>
          <w:rFonts w:ascii="Arial" w:hAnsi="Arial" w:cs="Arial"/>
          <w:bCs/>
          <w:sz w:val="20"/>
          <w:szCs w:val="20"/>
        </w:rPr>
        <w:t xml:space="preserve">Accessibility facilities refers </w:t>
      </w:r>
      <w:r w:rsidR="00C464B6">
        <w:rPr>
          <w:rFonts w:ascii="Arial" w:hAnsi="Arial" w:cs="Arial"/>
          <w:bCs/>
          <w:sz w:val="20"/>
          <w:szCs w:val="20"/>
        </w:rPr>
        <w:t xml:space="preserve">facilities that </w:t>
      </w:r>
      <w:r w:rsidRPr="00A72B35">
        <w:rPr>
          <w:rFonts w:ascii="Arial" w:hAnsi="Arial" w:cs="Arial"/>
          <w:bCs/>
          <w:sz w:val="20"/>
          <w:szCs w:val="20"/>
        </w:rPr>
        <w:t>people with disabilities, the elderly, children and other people with reduced mobility can access and use independently, safely and conveniently during residence, travel, work, recreation and other social activities.</w:t>
      </w:r>
      <w:r w:rsidRPr="00A72B35">
        <w:rPr>
          <w:rFonts w:ascii="Arial" w:hAnsi="Arial" w:cs="Arial"/>
          <w:bCs/>
          <w:sz w:val="20"/>
          <w:szCs w:val="20"/>
        </w:rPr>
        <w:br/>
      </w:r>
      <w:r w:rsidRPr="00A72B35">
        <w:rPr>
          <w:rFonts w:ascii="Arial" w:hAnsi="Arial" w:cs="Arial"/>
          <w:b/>
          <w:sz w:val="20"/>
          <w:szCs w:val="20"/>
        </w:rPr>
        <w:t>HCI 19: Sports ground area per capita (m</w:t>
      </w:r>
      <w:r w:rsidRPr="00A72B35">
        <w:rPr>
          <w:rFonts w:ascii="Arial" w:hAnsi="Arial" w:cs="Arial"/>
          <w:b/>
          <w:sz w:val="20"/>
          <w:szCs w:val="20"/>
          <w:vertAlign w:val="superscript"/>
        </w:rPr>
        <w:t>2</w:t>
      </w:r>
      <w:r w:rsidRPr="00A72B35">
        <w:rPr>
          <w:rFonts w:ascii="Arial" w:hAnsi="Arial" w:cs="Arial"/>
          <w:b/>
          <w:sz w:val="20"/>
          <w:szCs w:val="20"/>
        </w:rPr>
        <w:t>/person)</w:t>
      </w:r>
    </w:p>
    <w:p w14:paraId="6264666F" w14:textId="77777777"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Per capita area of sports ground area for inhabitants</w:t>
      </w:r>
      <w:r w:rsidRPr="00A72B35">
        <w:rPr>
          <w:rFonts w:ascii="Arial" w:hAnsi="Arial" w:cs="Arial"/>
          <w:bCs/>
          <w:sz w:val="20"/>
          <w:szCs w:val="20"/>
        </w:rPr>
        <w:t xml:space="preserve"> in the local built-up area.</w:t>
      </w:r>
      <w:r w:rsidRPr="00A72B35">
        <w:rPr>
          <w:rFonts w:ascii="Arial" w:hAnsi="Arial" w:cs="Arial"/>
          <w:sz w:val="20"/>
          <w:szCs w:val="20"/>
        </w:rPr>
        <w:t>, calculated in square meters per person.</w:t>
      </w:r>
      <w:r w:rsidRPr="00A72B35">
        <w:rPr>
          <w:rFonts w:ascii="Arial" w:hAnsi="Arial" w:cs="Arial"/>
          <w:b/>
          <w:sz w:val="20"/>
          <w:szCs w:val="20"/>
        </w:rPr>
        <w:br/>
        <w:t>HCI 20: Number of mass sports instructors per thousand people</w:t>
      </w:r>
    </w:p>
    <w:p w14:paraId="40BA9554" w14:textId="77777777"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number of mass sports instructors per 1,000 inhabitants.</w:t>
      </w:r>
    </w:p>
    <w:p w14:paraId="50FF8BA9" w14:textId="2F4C4CA3" w:rsidR="00551F05" w:rsidRPr="00A72B35" w:rsidRDefault="00C464B6" w:rsidP="00861B37">
      <w:pPr>
        <w:spacing w:line="480" w:lineRule="auto"/>
        <w:ind w:firstLineChars="200" w:firstLine="400"/>
        <w:rPr>
          <w:rFonts w:ascii="Arial" w:hAnsi="Arial" w:cs="Arial"/>
          <w:sz w:val="20"/>
          <w:szCs w:val="20"/>
        </w:rPr>
      </w:pPr>
      <w:r>
        <w:rPr>
          <w:rFonts w:ascii="Arial" w:hAnsi="Arial" w:cs="Arial"/>
          <w:sz w:val="20"/>
          <w:szCs w:val="20"/>
        </w:rPr>
        <w:t>A “</w:t>
      </w:r>
      <w:r w:rsidR="00551F05" w:rsidRPr="00A72B35">
        <w:rPr>
          <w:rFonts w:ascii="Arial" w:hAnsi="Arial" w:cs="Arial"/>
          <w:sz w:val="20"/>
          <w:szCs w:val="20"/>
        </w:rPr>
        <w:t>Mass sports instructor</w:t>
      </w:r>
      <w:r>
        <w:rPr>
          <w:rFonts w:ascii="Arial" w:hAnsi="Arial" w:cs="Arial"/>
          <w:sz w:val="20"/>
          <w:szCs w:val="20"/>
        </w:rPr>
        <w:t>”</w:t>
      </w:r>
      <w:r w:rsidR="00551F05" w:rsidRPr="00A72B35">
        <w:rPr>
          <w:rFonts w:ascii="Arial" w:hAnsi="Arial" w:cs="Arial"/>
          <w:sz w:val="20"/>
          <w:szCs w:val="20"/>
        </w:rPr>
        <w:t xml:space="preserve"> refers to those who do not receive remuneration for the purpose of providing the public with fitness skills, organizing fitness activities, publicizing scientific fitness knowledge, and other national fitness volunteer services and obtaining </w:t>
      </w:r>
      <w:r>
        <w:rPr>
          <w:rFonts w:ascii="Arial" w:hAnsi="Arial" w:cs="Arial"/>
          <w:sz w:val="20"/>
          <w:szCs w:val="20"/>
        </w:rPr>
        <w:t xml:space="preserve">the </w:t>
      </w:r>
      <w:r w:rsidR="00551F05" w:rsidRPr="00A72B35">
        <w:rPr>
          <w:rFonts w:ascii="Arial" w:hAnsi="Arial" w:cs="Arial"/>
          <w:sz w:val="20"/>
          <w:szCs w:val="20"/>
        </w:rPr>
        <w:t>technical title. China implements a technical hierarchy system for mass sports instructors. The technical grades are divided into four levels: third-level, second-level, first-level, and national mass sports instructors.</w:t>
      </w:r>
    </w:p>
    <w:p w14:paraId="769DAB8E" w14:textId="1D24C6A9"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21: </w:t>
      </w:r>
      <w:r w:rsidR="00C464B6">
        <w:rPr>
          <w:rFonts w:ascii="Arial" w:hAnsi="Arial" w:cs="Arial"/>
          <w:b/>
          <w:sz w:val="20"/>
          <w:szCs w:val="20"/>
        </w:rPr>
        <w:t>C</w:t>
      </w:r>
      <w:r w:rsidRPr="00A72B35">
        <w:rPr>
          <w:rFonts w:ascii="Arial" w:hAnsi="Arial" w:cs="Arial"/>
          <w:b/>
          <w:sz w:val="20"/>
          <w:szCs w:val="20"/>
        </w:rPr>
        <w:t>overage rate of occupational health examination (%)</w:t>
      </w:r>
    </w:p>
    <w:p w14:paraId="19CB6CA3" w14:textId="5E9F644E" w:rsidR="00551F05" w:rsidRPr="00A72B35" w:rsidRDefault="00551F05" w:rsidP="00861B37">
      <w:pPr>
        <w:spacing w:line="480" w:lineRule="auto"/>
        <w:rPr>
          <w:rFonts w:ascii="Arial" w:hAnsi="Arial" w:cs="Arial"/>
          <w:bCs/>
          <w:sz w:val="20"/>
          <w:szCs w:val="20"/>
        </w:rPr>
      </w:pPr>
      <w:r w:rsidRPr="00A72B35">
        <w:rPr>
          <w:rFonts w:ascii="Arial" w:hAnsi="Arial" w:cs="Arial"/>
          <w:sz w:val="20"/>
          <w:szCs w:val="20"/>
        </w:rPr>
        <w:t xml:space="preserve">Definition: </w:t>
      </w:r>
      <w:r w:rsidR="00C464B6">
        <w:rPr>
          <w:rFonts w:ascii="Arial" w:hAnsi="Arial" w:cs="Arial"/>
          <w:sz w:val="20"/>
          <w:szCs w:val="20"/>
        </w:rPr>
        <w:t xml:space="preserve">The percentage of </w:t>
      </w:r>
      <w:r w:rsidR="00C464B6">
        <w:rPr>
          <w:rFonts w:ascii="Arial" w:hAnsi="Arial" w:cs="Arial"/>
          <w:bCs/>
          <w:sz w:val="20"/>
          <w:szCs w:val="20"/>
        </w:rPr>
        <w:t>w</w:t>
      </w:r>
      <w:r w:rsidRPr="00A72B35">
        <w:rPr>
          <w:rFonts w:ascii="Arial" w:hAnsi="Arial" w:cs="Arial"/>
          <w:bCs/>
          <w:sz w:val="20"/>
          <w:szCs w:val="20"/>
        </w:rPr>
        <w:t xml:space="preserve">orkers exposed to occupational disease hazards in key industries </w:t>
      </w:r>
      <w:r w:rsidR="00C464B6">
        <w:rPr>
          <w:rFonts w:ascii="Arial" w:hAnsi="Arial" w:cs="Arial"/>
          <w:bCs/>
          <w:sz w:val="20"/>
          <w:szCs w:val="20"/>
        </w:rPr>
        <w:t xml:space="preserve">who </w:t>
      </w:r>
      <w:r w:rsidRPr="00A72B35">
        <w:rPr>
          <w:rFonts w:ascii="Arial" w:hAnsi="Arial" w:cs="Arial"/>
          <w:bCs/>
          <w:sz w:val="20"/>
          <w:szCs w:val="20"/>
        </w:rPr>
        <w:t>have taken occupational health examinations</w:t>
      </w:r>
      <w:r w:rsidR="00C464B6">
        <w:rPr>
          <w:rFonts w:ascii="Arial" w:hAnsi="Arial" w:cs="Arial"/>
          <w:bCs/>
          <w:sz w:val="20"/>
          <w:szCs w:val="20"/>
        </w:rPr>
        <w:t xml:space="preserve"> compared with </w:t>
      </w:r>
      <w:r w:rsidRPr="00A72B35">
        <w:rPr>
          <w:rFonts w:ascii="Arial" w:hAnsi="Arial" w:cs="Arial"/>
          <w:bCs/>
          <w:sz w:val="20"/>
          <w:szCs w:val="20"/>
        </w:rPr>
        <w:t>the total number of workers who should receive occupational health examinations.</w:t>
      </w:r>
    </w:p>
    <w:p w14:paraId="2C135B0B"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22: Occupational health monitoring rate of specially supervised enterprises (%)</w:t>
      </w:r>
    </w:p>
    <w:p w14:paraId="7D9886D0" w14:textId="2B6D7648"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Definition: Percentage of enterprises </w:t>
      </w:r>
      <w:r w:rsidR="00BF49BD">
        <w:rPr>
          <w:rFonts w:ascii="Arial" w:hAnsi="Arial" w:cs="Arial"/>
          <w:bCs/>
          <w:sz w:val="20"/>
          <w:szCs w:val="20"/>
        </w:rPr>
        <w:t>that</w:t>
      </w:r>
      <w:r w:rsidR="00BF49BD" w:rsidRPr="00A72B35">
        <w:rPr>
          <w:rFonts w:ascii="Arial" w:hAnsi="Arial" w:cs="Arial"/>
          <w:bCs/>
          <w:sz w:val="20"/>
          <w:szCs w:val="20"/>
        </w:rPr>
        <w:t xml:space="preserve"> </w:t>
      </w:r>
      <w:r w:rsidRPr="00A72B35">
        <w:rPr>
          <w:rFonts w:ascii="Arial" w:hAnsi="Arial" w:cs="Arial"/>
          <w:bCs/>
          <w:sz w:val="20"/>
          <w:szCs w:val="20"/>
        </w:rPr>
        <w:t>monitor the occupational hazards.</w:t>
      </w:r>
    </w:p>
    <w:p w14:paraId="5F78E740" w14:textId="215F636D" w:rsidR="00551F05" w:rsidRPr="00A72B35" w:rsidRDefault="00551F05" w:rsidP="00861B37">
      <w:pPr>
        <w:spacing w:line="480" w:lineRule="auto"/>
        <w:rPr>
          <w:rFonts w:ascii="Arial" w:hAnsi="Arial" w:cs="Arial"/>
          <w:sz w:val="20"/>
          <w:szCs w:val="20"/>
        </w:rPr>
      </w:pPr>
      <w:r w:rsidRPr="00A72B35">
        <w:rPr>
          <w:rFonts w:ascii="Arial" w:hAnsi="Arial" w:cs="Arial"/>
          <w:b/>
          <w:sz w:val="20"/>
          <w:szCs w:val="20"/>
        </w:rPr>
        <w:lastRenderedPageBreak/>
        <w:t>HCI 23: Mortality of production safety accidents per 100 million GDP</w:t>
      </w:r>
    </w:p>
    <w:p w14:paraId="3C4C6EAC" w14:textId="44D31DB3"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Number of deaths in production safety accidents, calculated per 100 million yuan.</w:t>
      </w:r>
      <w:r w:rsidRPr="00A72B35">
        <w:rPr>
          <w:rFonts w:ascii="Arial" w:hAnsi="Arial" w:cs="Arial"/>
          <w:sz w:val="20"/>
          <w:szCs w:val="20"/>
        </w:rPr>
        <w:br/>
      </w:r>
      <w:r w:rsidRPr="00A72B35">
        <w:rPr>
          <w:rFonts w:ascii="Arial" w:hAnsi="Arial" w:cs="Arial"/>
          <w:b/>
          <w:sz w:val="20"/>
          <w:szCs w:val="20"/>
        </w:rPr>
        <w:t xml:space="preserve">HCI 24: No major occupational disease hazards accidents and laboratory biosafety accidents in the past </w:t>
      </w:r>
      <w:r w:rsidR="00BF49BD">
        <w:rPr>
          <w:rFonts w:ascii="Arial" w:hAnsi="Arial" w:cs="Arial"/>
          <w:b/>
          <w:sz w:val="20"/>
          <w:szCs w:val="20"/>
        </w:rPr>
        <w:t>3</w:t>
      </w:r>
      <w:r w:rsidR="00BF49BD" w:rsidRPr="00A72B35">
        <w:rPr>
          <w:rFonts w:ascii="Arial" w:hAnsi="Arial" w:cs="Arial"/>
          <w:b/>
          <w:sz w:val="20"/>
          <w:szCs w:val="20"/>
        </w:rPr>
        <w:t xml:space="preserve"> </w:t>
      </w:r>
      <w:r w:rsidRPr="00A72B35">
        <w:rPr>
          <w:rFonts w:ascii="Arial" w:hAnsi="Arial" w:cs="Arial"/>
          <w:b/>
          <w:sz w:val="20"/>
          <w:szCs w:val="20"/>
        </w:rPr>
        <w:t>years</w:t>
      </w:r>
    </w:p>
    <w:p w14:paraId="5B3E8FF4" w14:textId="63A3CA54" w:rsidR="00551F05" w:rsidRPr="00A72B35" w:rsidRDefault="00551F05" w:rsidP="00861B37">
      <w:pPr>
        <w:spacing w:line="480" w:lineRule="auto"/>
        <w:ind w:firstLineChars="200" w:firstLine="400"/>
        <w:rPr>
          <w:rFonts w:ascii="Arial" w:hAnsi="Arial" w:cs="Arial"/>
          <w:sz w:val="20"/>
          <w:szCs w:val="20"/>
        </w:rPr>
      </w:pPr>
      <w:r w:rsidRPr="00A72B35">
        <w:rPr>
          <w:rFonts w:ascii="Arial" w:hAnsi="Arial" w:cs="Arial"/>
          <w:sz w:val="20"/>
          <w:szCs w:val="20"/>
        </w:rPr>
        <w:t>The major occupational disease hazards accidents: 10</w:t>
      </w:r>
      <w:r w:rsidR="00BF49BD">
        <w:rPr>
          <w:rFonts w:ascii="Arial" w:hAnsi="Arial" w:cs="Arial"/>
          <w:sz w:val="20"/>
          <w:szCs w:val="20"/>
        </w:rPr>
        <w:t>–</w:t>
      </w:r>
      <w:r w:rsidRPr="00A72B35">
        <w:rPr>
          <w:rFonts w:ascii="Arial" w:hAnsi="Arial" w:cs="Arial"/>
          <w:sz w:val="20"/>
          <w:szCs w:val="20"/>
        </w:rPr>
        <w:t>50 with acute occupational diseases, ≤5 with acute occupational disease death, or≤5 with occupational anthrax.</w:t>
      </w:r>
    </w:p>
    <w:p w14:paraId="0A256AD2" w14:textId="1D95F054"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25: Food sampling inspection </w:t>
      </w:r>
      <w:r w:rsidR="00BF49BD">
        <w:rPr>
          <w:rFonts w:ascii="Arial" w:hAnsi="Arial" w:cs="Arial"/>
          <w:b/>
          <w:sz w:val="20"/>
          <w:szCs w:val="20"/>
        </w:rPr>
        <w:t>in four</w:t>
      </w:r>
      <w:r w:rsidRPr="00A72B35">
        <w:rPr>
          <w:rFonts w:ascii="Arial" w:hAnsi="Arial" w:cs="Arial"/>
          <w:b/>
          <w:sz w:val="20"/>
          <w:szCs w:val="20"/>
        </w:rPr>
        <w:t xml:space="preserve"> batches / a thousand people</w:t>
      </w:r>
    </w:p>
    <w:p w14:paraId="587FB256" w14:textId="77777777"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number of food samples for sampling inspection per 1,000 inhabitants.</w:t>
      </w:r>
    </w:p>
    <w:p w14:paraId="35E961FD" w14:textId="1C318B01"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26: No major food or drug safety accidents in the past </w:t>
      </w:r>
      <w:r w:rsidR="00BF49BD">
        <w:rPr>
          <w:rFonts w:ascii="Arial" w:hAnsi="Arial" w:cs="Arial"/>
          <w:b/>
          <w:sz w:val="20"/>
          <w:szCs w:val="20"/>
        </w:rPr>
        <w:t>3</w:t>
      </w:r>
      <w:r w:rsidR="00BF49BD" w:rsidRPr="00A72B35">
        <w:rPr>
          <w:rFonts w:ascii="Arial" w:hAnsi="Arial" w:cs="Arial"/>
          <w:b/>
          <w:sz w:val="20"/>
          <w:szCs w:val="20"/>
        </w:rPr>
        <w:t xml:space="preserve"> </w:t>
      </w:r>
      <w:r w:rsidRPr="00A72B35">
        <w:rPr>
          <w:rFonts w:ascii="Arial" w:hAnsi="Arial" w:cs="Arial"/>
          <w:b/>
          <w:sz w:val="20"/>
          <w:szCs w:val="20"/>
        </w:rPr>
        <w:t>years</w:t>
      </w:r>
    </w:p>
    <w:p w14:paraId="5560EB18" w14:textId="0C2874EF" w:rsidR="00551F05" w:rsidRPr="00A72B35" w:rsidRDefault="00551F05" w:rsidP="00861B37">
      <w:pPr>
        <w:spacing w:line="480" w:lineRule="auto"/>
        <w:ind w:firstLineChars="200" w:firstLine="400"/>
        <w:rPr>
          <w:rFonts w:ascii="Arial" w:hAnsi="Arial" w:cs="Arial"/>
          <w:b/>
          <w:sz w:val="20"/>
          <w:szCs w:val="20"/>
        </w:rPr>
      </w:pPr>
      <w:r w:rsidRPr="00A72B35">
        <w:rPr>
          <w:rFonts w:ascii="Arial" w:hAnsi="Arial" w:cs="Arial"/>
          <w:sz w:val="20"/>
          <w:szCs w:val="20"/>
        </w:rPr>
        <w:t>Production safety accident disasters are generally divided into four levels according to their nature, severity, controllability and scope of influence: Grade I (special major), Grade II (major), Grade III (larger)</w:t>
      </w:r>
      <w:r w:rsidR="00BF49BD">
        <w:rPr>
          <w:rFonts w:ascii="Arial" w:hAnsi="Arial" w:cs="Arial"/>
          <w:sz w:val="20"/>
          <w:szCs w:val="20"/>
        </w:rPr>
        <w:t>,</w:t>
      </w:r>
      <w:r w:rsidRPr="00A72B35">
        <w:rPr>
          <w:rFonts w:ascii="Arial" w:hAnsi="Arial" w:cs="Arial"/>
          <w:sz w:val="20"/>
          <w:szCs w:val="20"/>
        </w:rPr>
        <w:t xml:space="preserve"> and Grade IV (general).</w:t>
      </w:r>
      <w:r w:rsidRPr="00A72B35">
        <w:rPr>
          <w:rFonts w:ascii="Arial" w:hAnsi="Arial" w:cs="Arial"/>
          <w:sz w:val="20"/>
          <w:szCs w:val="20"/>
        </w:rPr>
        <w:br/>
        <w:t xml:space="preserve">    Grade I: An accident that causes more than 30 deaths, or more than 100 serious injuries, or direct economic losses of more than 100 million yuan</w:t>
      </w:r>
      <w:r w:rsidR="00BF49BD">
        <w:rPr>
          <w:rFonts w:ascii="Arial" w:hAnsi="Arial" w:cs="Arial"/>
          <w:sz w:val="20"/>
          <w:szCs w:val="20"/>
        </w:rPr>
        <w:t>.</w:t>
      </w:r>
      <w:r w:rsidRPr="00A72B35">
        <w:rPr>
          <w:rFonts w:ascii="Arial" w:hAnsi="Arial" w:cs="Arial"/>
          <w:sz w:val="20"/>
          <w:szCs w:val="20"/>
        </w:rPr>
        <w:br/>
        <w:t xml:space="preserve">    Grade II: An accident that causes more than 10 deaths of less than 30 persons, or serious injuries of more than 50 persons and 100 persons or less, or direct economic losses of more than 50 million yuan and less than 100 million yuan</w:t>
      </w:r>
      <w:r w:rsidR="00BF49BD">
        <w:rPr>
          <w:rFonts w:ascii="Arial" w:hAnsi="Arial" w:cs="Arial"/>
          <w:sz w:val="20"/>
          <w:szCs w:val="20"/>
        </w:rPr>
        <w:t>.</w:t>
      </w:r>
      <w:r w:rsidRPr="00A72B35">
        <w:rPr>
          <w:rFonts w:ascii="Arial" w:hAnsi="Arial" w:cs="Arial"/>
          <w:sz w:val="20"/>
          <w:szCs w:val="20"/>
        </w:rPr>
        <w:br/>
        <w:t xml:space="preserve">    Grade III: An accident that causes </w:t>
      </w:r>
      <w:r w:rsidR="00BF49BD">
        <w:rPr>
          <w:rFonts w:ascii="Arial" w:hAnsi="Arial" w:cs="Arial"/>
          <w:sz w:val="20"/>
          <w:szCs w:val="20"/>
        </w:rPr>
        <w:t xml:space="preserve">the </w:t>
      </w:r>
      <w:r w:rsidRPr="00A72B35">
        <w:rPr>
          <w:rFonts w:ascii="Arial" w:hAnsi="Arial" w:cs="Arial"/>
          <w:sz w:val="20"/>
          <w:szCs w:val="20"/>
        </w:rPr>
        <w:t>death of more than 3 persons and less than 10 persons, or serious injury of more than 10 persons and 50 persons or less, or direct economic loss of 10 million yuan or more and 50 million yuan or less</w:t>
      </w:r>
      <w:r w:rsidR="00BF49BD">
        <w:rPr>
          <w:rFonts w:ascii="Arial" w:hAnsi="Arial" w:cs="Arial"/>
          <w:sz w:val="20"/>
          <w:szCs w:val="20"/>
        </w:rPr>
        <w:t>.</w:t>
      </w:r>
      <w:r w:rsidRPr="00A72B35">
        <w:rPr>
          <w:rFonts w:ascii="Arial" w:hAnsi="Arial" w:cs="Arial"/>
          <w:sz w:val="20"/>
          <w:szCs w:val="20"/>
        </w:rPr>
        <w:br/>
        <w:t xml:space="preserve">    Grade IV: An accident that causes </w:t>
      </w:r>
      <w:r w:rsidR="00BF49BD">
        <w:rPr>
          <w:rFonts w:ascii="Arial" w:hAnsi="Arial" w:cs="Arial"/>
          <w:sz w:val="20"/>
          <w:szCs w:val="20"/>
        </w:rPr>
        <w:t xml:space="preserve">the </w:t>
      </w:r>
      <w:r w:rsidRPr="00A72B35">
        <w:rPr>
          <w:rFonts w:ascii="Arial" w:hAnsi="Arial" w:cs="Arial"/>
          <w:sz w:val="20"/>
          <w:szCs w:val="20"/>
        </w:rPr>
        <w:t>death of less than 3 persons, or serious injury of less than 10 persons, or direct economic loss of less than 10 million yuan</w:t>
      </w:r>
      <w:r w:rsidR="00BF49BD">
        <w:rPr>
          <w:rFonts w:ascii="Arial" w:hAnsi="Arial" w:cs="Arial"/>
          <w:sz w:val="20"/>
          <w:szCs w:val="20"/>
        </w:rPr>
        <w:t>.</w:t>
      </w:r>
      <w:r w:rsidRPr="00A72B35">
        <w:rPr>
          <w:rFonts w:ascii="Arial" w:hAnsi="Arial" w:cs="Arial"/>
          <w:sz w:val="20"/>
          <w:szCs w:val="20"/>
        </w:rPr>
        <w:br/>
      </w:r>
      <w:r w:rsidRPr="00A72B35">
        <w:rPr>
          <w:rFonts w:ascii="Arial" w:hAnsi="Arial" w:cs="Arial"/>
          <w:b/>
          <w:sz w:val="20"/>
          <w:szCs w:val="20"/>
        </w:rPr>
        <w:t xml:space="preserve">HCI 27: </w:t>
      </w:r>
      <w:r w:rsidR="00BF49BD">
        <w:rPr>
          <w:rFonts w:ascii="Arial" w:hAnsi="Arial" w:cs="Arial"/>
          <w:b/>
          <w:sz w:val="20"/>
          <w:szCs w:val="20"/>
        </w:rPr>
        <w:t>P</w:t>
      </w:r>
      <w:r w:rsidRPr="00A72B35">
        <w:rPr>
          <w:rFonts w:ascii="Arial" w:hAnsi="Arial" w:cs="Arial"/>
          <w:b/>
          <w:sz w:val="20"/>
          <w:szCs w:val="20"/>
        </w:rPr>
        <w:t>ass</w:t>
      </w:r>
      <w:r w:rsidR="00BF49BD">
        <w:rPr>
          <w:rFonts w:ascii="Arial" w:hAnsi="Arial" w:cs="Arial"/>
          <w:b/>
          <w:sz w:val="20"/>
          <w:szCs w:val="20"/>
        </w:rPr>
        <w:t>ing</w:t>
      </w:r>
      <w:r w:rsidRPr="00A72B35">
        <w:rPr>
          <w:rFonts w:ascii="Arial" w:hAnsi="Arial" w:cs="Arial"/>
          <w:b/>
          <w:sz w:val="20"/>
          <w:szCs w:val="20"/>
        </w:rPr>
        <w:t xml:space="preserve"> rate of medical apparatus sampling inspection (%)</w:t>
      </w:r>
    </w:p>
    <w:p w14:paraId="0227DCCD" w14:textId="44B30D5F" w:rsidR="00551F05" w:rsidRPr="00A72B35" w:rsidRDefault="00551F05" w:rsidP="00861B37">
      <w:pPr>
        <w:spacing w:line="480" w:lineRule="auto"/>
        <w:rPr>
          <w:rFonts w:ascii="Arial" w:hAnsi="Arial" w:cs="Arial"/>
          <w:color w:val="000000" w:themeColor="text1"/>
          <w:sz w:val="20"/>
          <w:szCs w:val="20"/>
        </w:rPr>
      </w:pPr>
      <w:r w:rsidRPr="00A72B35">
        <w:rPr>
          <w:rFonts w:ascii="Arial" w:hAnsi="Arial" w:cs="Arial"/>
          <w:sz w:val="20"/>
          <w:szCs w:val="20"/>
        </w:rPr>
        <w:t xml:space="preserve">Definition: </w:t>
      </w:r>
      <w:r w:rsidR="00BF49BD">
        <w:rPr>
          <w:rFonts w:ascii="Arial" w:hAnsi="Arial" w:cs="Arial"/>
          <w:sz w:val="20"/>
          <w:szCs w:val="20"/>
        </w:rPr>
        <w:t>Percentage</w:t>
      </w:r>
      <w:r w:rsidR="00BF49BD" w:rsidRPr="00A72B35">
        <w:rPr>
          <w:rFonts w:ascii="Arial" w:hAnsi="Arial" w:cs="Arial"/>
          <w:sz w:val="20"/>
          <w:szCs w:val="20"/>
        </w:rPr>
        <w:t xml:space="preserve"> </w:t>
      </w:r>
      <w:r w:rsidRPr="00A72B35">
        <w:rPr>
          <w:rFonts w:ascii="Arial" w:hAnsi="Arial" w:cs="Arial"/>
          <w:sz w:val="20"/>
          <w:szCs w:val="20"/>
        </w:rPr>
        <w:t>of sampling medical device product</w:t>
      </w:r>
      <w:r w:rsidR="00BF49BD">
        <w:rPr>
          <w:rFonts w:ascii="Arial" w:hAnsi="Arial" w:cs="Arial"/>
          <w:sz w:val="20"/>
          <w:szCs w:val="20"/>
        </w:rPr>
        <w:t>s that</w:t>
      </w:r>
      <w:r w:rsidRPr="00A72B35">
        <w:rPr>
          <w:rFonts w:ascii="Arial" w:hAnsi="Arial" w:cs="Arial"/>
          <w:sz w:val="20"/>
          <w:szCs w:val="20"/>
        </w:rPr>
        <w:t xml:space="preserve"> meet </w:t>
      </w:r>
      <w:r w:rsidR="00BF49BD">
        <w:rPr>
          <w:rFonts w:ascii="Arial" w:hAnsi="Arial" w:cs="Arial"/>
          <w:sz w:val="20"/>
          <w:szCs w:val="20"/>
        </w:rPr>
        <w:t xml:space="preserve">the </w:t>
      </w:r>
      <w:r w:rsidRPr="00A72B35">
        <w:rPr>
          <w:rFonts w:ascii="Arial" w:hAnsi="Arial" w:cs="Arial"/>
          <w:sz w:val="20"/>
          <w:szCs w:val="20"/>
        </w:rPr>
        <w:t xml:space="preserve">requirements of </w:t>
      </w:r>
      <w:r w:rsidR="00BF49BD" w:rsidRPr="00A72B35">
        <w:rPr>
          <w:rFonts w:ascii="Arial" w:hAnsi="Arial" w:cs="Arial"/>
          <w:sz w:val="20"/>
          <w:szCs w:val="20"/>
        </w:rPr>
        <w:t xml:space="preserve">management regulations </w:t>
      </w:r>
      <w:r w:rsidR="00BF49BD">
        <w:rPr>
          <w:rFonts w:ascii="Arial" w:hAnsi="Arial" w:cs="Arial"/>
          <w:sz w:val="20"/>
          <w:szCs w:val="20"/>
        </w:rPr>
        <w:t>related to m</w:t>
      </w:r>
      <w:r w:rsidRPr="00A72B35">
        <w:rPr>
          <w:rFonts w:ascii="Arial" w:hAnsi="Arial" w:cs="Arial"/>
          <w:sz w:val="20"/>
          <w:szCs w:val="20"/>
        </w:rPr>
        <w:t>edical device quality supervision sampling inspection.</w:t>
      </w:r>
      <w:r w:rsidRPr="00A72B35">
        <w:rPr>
          <w:rFonts w:ascii="Arial" w:hAnsi="Arial" w:cs="Arial"/>
          <w:sz w:val="20"/>
          <w:szCs w:val="20"/>
        </w:rPr>
        <w:br/>
      </w:r>
      <w:r w:rsidRPr="00A72B35">
        <w:rPr>
          <w:rFonts w:ascii="Arial" w:hAnsi="Arial" w:cs="Arial"/>
          <w:b/>
          <w:sz w:val="20"/>
          <w:szCs w:val="20"/>
        </w:rPr>
        <w:t xml:space="preserve">HCI 28: </w:t>
      </w:r>
      <w:r w:rsidR="00BF49BD">
        <w:rPr>
          <w:rFonts w:ascii="Arial" w:hAnsi="Arial" w:cs="Arial"/>
          <w:b/>
          <w:sz w:val="20"/>
          <w:szCs w:val="20"/>
        </w:rPr>
        <w:t>P</w:t>
      </w:r>
      <w:r w:rsidRPr="00A72B35">
        <w:rPr>
          <w:rFonts w:ascii="Arial" w:hAnsi="Arial" w:cs="Arial"/>
          <w:b/>
          <w:sz w:val="20"/>
          <w:szCs w:val="20"/>
        </w:rPr>
        <w:t>ass</w:t>
      </w:r>
      <w:r w:rsidR="00BF49BD">
        <w:rPr>
          <w:rFonts w:ascii="Arial" w:hAnsi="Arial" w:cs="Arial"/>
          <w:b/>
          <w:sz w:val="20"/>
          <w:szCs w:val="20"/>
        </w:rPr>
        <w:t>ing</w:t>
      </w:r>
      <w:r w:rsidRPr="00A72B35">
        <w:rPr>
          <w:rFonts w:ascii="Arial" w:hAnsi="Arial" w:cs="Arial"/>
          <w:b/>
          <w:sz w:val="20"/>
          <w:szCs w:val="20"/>
        </w:rPr>
        <w:t xml:space="preserve"> rate of drug evaluative sampling inspectio</w:t>
      </w:r>
      <w:r w:rsidRPr="00A72B35">
        <w:rPr>
          <w:rFonts w:ascii="Arial" w:hAnsi="Arial" w:cs="Arial"/>
          <w:b/>
          <w:color w:val="000000" w:themeColor="text1"/>
          <w:sz w:val="20"/>
          <w:szCs w:val="20"/>
        </w:rPr>
        <w:t>n (%)</w:t>
      </w:r>
    </w:p>
    <w:p w14:paraId="4E4E5939" w14:textId="25135B9F"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 xml:space="preserve">Definition: </w:t>
      </w:r>
      <w:r w:rsidR="00BF49BD">
        <w:rPr>
          <w:rFonts w:ascii="Arial" w:hAnsi="Arial" w:cs="Arial"/>
          <w:sz w:val="20"/>
          <w:szCs w:val="20"/>
        </w:rPr>
        <w:t>Percentage</w:t>
      </w:r>
      <w:r w:rsidR="00BF49BD" w:rsidRPr="00A72B35">
        <w:rPr>
          <w:rFonts w:ascii="Arial" w:hAnsi="Arial" w:cs="Arial"/>
          <w:sz w:val="20"/>
          <w:szCs w:val="20"/>
        </w:rPr>
        <w:t xml:space="preserve"> </w:t>
      </w:r>
      <w:r w:rsidRPr="00A72B35">
        <w:rPr>
          <w:rFonts w:ascii="Arial" w:hAnsi="Arial" w:cs="Arial"/>
          <w:sz w:val="20"/>
          <w:szCs w:val="20"/>
        </w:rPr>
        <w:t xml:space="preserve">of sampling drug </w:t>
      </w:r>
      <w:r w:rsidR="00BF49BD">
        <w:rPr>
          <w:rFonts w:ascii="Arial" w:hAnsi="Arial" w:cs="Arial"/>
          <w:sz w:val="20"/>
          <w:szCs w:val="20"/>
        </w:rPr>
        <w:t>that</w:t>
      </w:r>
      <w:r w:rsidRPr="00A72B35">
        <w:rPr>
          <w:rFonts w:ascii="Arial" w:hAnsi="Arial" w:cs="Arial"/>
          <w:sz w:val="20"/>
          <w:szCs w:val="20"/>
        </w:rPr>
        <w:t xml:space="preserve"> meet</w:t>
      </w:r>
      <w:r w:rsidR="00BF49BD">
        <w:rPr>
          <w:rFonts w:ascii="Arial" w:hAnsi="Arial" w:cs="Arial"/>
          <w:sz w:val="20"/>
          <w:szCs w:val="20"/>
        </w:rPr>
        <w:t>s</w:t>
      </w:r>
      <w:r w:rsidRPr="00A72B35">
        <w:rPr>
          <w:rFonts w:ascii="Arial" w:hAnsi="Arial" w:cs="Arial"/>
          <w:sz w:val="20"/>
          <w:szCs w:val="20"/>
        </w:rPr>
        <w:t xml:space="preserve"> requirements of </w:t>
      </w:r>
      <w:r w:rsidR="00BF49BD" w:rsidRPr="00A72B35">
        <w:rPr>
          <w:rFonts w:ascii="Arial" w:hAnsi="Arial" w:cs="Arial"/>
          <w:sz w:val="20"/>
          <w:szCs w:val="20"/>
        </w:rPr>
        <w:t xml:space="preserve">management regulations </w:t>
      </w:r>
      <w:r w:rsidR="00BF49BD">
        <w:rPr>
          <w:rFonts w:ascii="Arial" w:hAnsi="Arial" w:cs="Arial"/>
          <w:sz w:val="20"/>
          <w:szCs w:val="20"/>
        </w:rPr>
        <w:t>related to d</w:t>
      </w:r>
      <w:r w:rsidRPr="00A72B35">
        <w:rPr>
          <w:rFonts w:ascii="Arial" w:hAnsi="Arial" w:cs="Arial"/>
          <w:sz w:val="20"/>
          <w:szCs w:val="20"/>
        </w:rPr>
        <w:t>rug quality sampling inspection.</w:t>
      </w:r>
      <w:r w:rsidRPr="00A72B35">
        <w:rPr>
          <w:rFonts w:ascii="Arial" w:hAnsi="Arial" w:cs="Arial"/>
          <w:sz w:val="20"/>
          <w:szCs w:val="20"/>
        </w:rPr>
        <w:br/>
      </w:r>
      <w:r w:rsidRPr="00A72B35">
        <w:rPr>
          <w:rFonts w:ascii="Arial" w:hAnsi="Arial" w:cs="Arial"/>
          <w:b/>
          <w:sz w:val="20"/>
          <w:szCs w:val="20"/>
        </w:rPr>
        <w:t>HCI 29: Health certificate coverage rate of ready-to-eat foods practitioners (%)</w:t>
      </w:r>
    </w:p>
    <w:p w14:paraId="2EC1B4C1" w14:textId="72AEB93A"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lastRenderedPageBreak/>
        <w:t xml:space="preserve">Definition: </w:t>
      </w:r>
      <w:r w:rsidR="00BF49BD">
        <w:rPr>
          <w:rFonts w:ascii="Arial" w:hAnsi="Arial" w:cs="Arial"/>
          <w:sz w:val="20"/>
          <w:szCs w:val="20"/>
        </w:rPr>
        <w:t>Percentage</w:t>
      </w:r>
      <w:r w:rsidRPr="00A72B35">
        <w:rPr>
          <w:rFonts w:ascii="Arial" w:hAnsi="Arial" w:cs="Arial"/>
          <w:sz w:val="20"/>
          <w:szCs w:val="20"/>
        </w:rPr>
        <w:t xml:space="preserve"> of ready-to-eat foods practitioners with health certificate</w:t>
      </w:r>
      <w:r w:rsidR="007E521F">
        <w:rPr>
          <w:rFonts w:ascii="Arial" w:hAnsi="Arial" w:cs="Arial"/>
          <w:sz w:val="20"/>
          <w:szCs w:val="20"/>
        </w:rPr>
        <w:t>s</w:t>
      </w:r>
      <w:r w:rsidRPr="00A72B35">
        <w:rPr>
          <w:rFonts w:ascii="Arial" w:hAnsi="Arial" w:cs="Arial"/>
          <w:sz w:val="20"/>
          <w:szCs w:val="20"/>
        </w:rPr>
        <w:t>.</w:t>
      </w:r>
    </w:p>
    <w:p w14:paraId="584020CF"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30: Qualified rate of National Student Physical Health Standard (%)</w:t>
      </w:r>
    </w:p>
    <w:p w14:paraId="2F379717" w14:textId="38C9B6C9"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 xml:space="preserve">Definition: </w:t>
      </w:r>
      <w:r w:rsidR="00BF49BD">
        <w:rPr>
          <w:rFonts w:ascii="Arial" w:hAnsi="Arial" w:cs="Arial"/>
          <w:sz w:val="20"/>
          <w:szCs w:val="20"/>
        </w:rPr>
        <w:t>Percentage</w:t>
      </w:r>
      <w:r w:rsidRPr="00A72B35">
        <w:rPr>
          <w:rFonts w:ascii="Arial" w:hAnsi="Arial" w:cs="Arial"/>
          <w:bCs/>
          <w:sz w:val="20"/>
          <w:szCs w:val="20"/>
        </w:rPr>
        <w:t xml:space="preserve"> of students reached National Student Physical Health Standard</w:t>
      </w:r>
      <w:r w:rsidRPr="00A72B35">
        <w:rPr>
          <w:rFonts w:ascii="Arial" w:hAnsi="Arial" w:cs="Arial"/>
          <w:b/>
          <w:sz w:val="20"/>
          <w:szCs w:val="20"/>
        </w:rPr>
        <w:br/>
        <w:t>HCI 31: Incidence of myopia (</w:t>
      </w:r>
      <w:r w:rsidR="007E521F">
        <w:rPr>
          <w:rFonts w:ascii="Arial" w:hAnsi="Arial" w:cs="Arial"/>
          <w:b/>
          <w:sz w:val="20"/>
          <w:szCs w:val="20"/>
        </w:rPr>
        <w:t>p</w:t>
      </w:r>
      <w:r w:rsidR="007E521F" w:rsidRPr="00A72B35">
        <w:rPr>
          <w:rFonts w:ascii="Arial" w:hAnsi="Arial" w:cs="Arial"/>
          <w:b/>
          <w:sz w:val="20"/>
          <w:szCs w:val="20"/>
        </w:rPr>
        <w:t xml:space="preserve">rimary </w:t>
      </w:r>
      <w:r w:rsidRPr="00A72B35">
        <w:rPr>
          <w:rFonts w:ascii="Arial" w:hAnsi="Arial" w:cs="Arial"/>
          <w:b/>
          <w:sz w:val="20"/>
          <w:szCs w:val="20"/>
        </w:rPr>
        <w:t>school/junior high school/high school) (%)</w:t>
      </w:r>
    </w:p>
    <w:p w14:paraId="02AC2ACC" w14:textId="191C135E"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Definition: The incidence of myopia disease</w:t>
      </w:r>
      <w:r w:rsidR="007E521F" w:rsidRPr="007E521F">
        <w:rPr>
          <w:rFonts w:ascii="Arial" w:hAnsi="Arial" w:cs="Arial"/>
          <w:bCs/>
          <w:sz w:val="20"/>
          <w:szCs w:val="20"/>
        </w:rPr>
        <w:t xml:space="preserve"> </w:t>
      </w:r>
      <w:r w:rsidR="007E521F">
        <w:rPr>
          <w:rFonts w:ascii="Arial" w:hAnsi="Arial" w:cs="Arial"/>
          <w:bCs/>
          <w:sz w:val="20"/>
          <w:szCs w:val="20"/>
        </w:rPr>
        <w:t>among this specific population</w:t>
      </w:r>
      <w:r w:rsidRPr="00A72B35">
        <w:rPr>
          <w:rFonts w:ascii="Arial" w:hAnsi="Arial" w:cs="Arial"/>
          <w:bCs/>
          <w:sz w:val="20"/>
          <w:szCs w:val="20"/>
        </w:rPr>
        <w:t>.</w:t>
      </w:r>
    </w:p>
    <w:p w14:paraId="21F274A1" w14:textId="2D76015B"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32: Offering rate of health education course (</w:t>
      </w:r>
      <w:r w:rsidR="007E521F">
        <w:rPr>
          <w:rFonts w:ascii="Arial" w:hAnsi="Arial" w:cs="Arial"/>
          <w:b/>
          <w:sz w:val="20"/>
          <w:szCs w:val="20"/>
        </w:rPr>
        <w:t>c</w:t>
      </w:r>
      <w:r w:rsidR="007E521F" w:rsidRPr="00A72B35">
        <w:rPr>
          <w:rFonts w:ascii="Arial" w:hAnsi="Arial" w:cs="Arial"/>
          <w:b/>
          <w:sz w:val="20"/>
          <w:szCs w:val="20"/>
        </w:rPr>
        <w:t xml:space="preserve">ompulsory </w:t>
      </w:r>
      <w:r w:rsidRPr="00A72B35">
        <w:rPr>
          <w:rFonts w:ascii="Arial" w:hAnsi="Arial" w:cs="Arial"/>
          <w:b/>
          <w:sz w:val="20"/>
          <w:szCs w:val="20"/>
        </w:rPr>
        <w:t>education only) (%)</w:t>
      </w:r>
    </w:p>
    <w:p w14:paraId="6D7117E2" w14:textId="231ECCB6"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 xml:space="preserve">Definition: The number of opened health education courses as a percentage of </w:t>
      </w:r>
      <w:r w:rsidR="007E521F">
        <w:rPr>
          <w:rFonts w:ascii="Arial" w:hAnsi="Arial" w:cs="Arial"/>
          <w:sz w:val="20"/>
          <w:szCs w:val="20"/>
        </w:rPr>
        <w:t xml:space="preserve">the </w:t>
      </w:r>
      <w:r w:rsidRPr="00A72B35">
        <w:rPr>
          <w:rFonts w:ascii="Arial" w:hAnsi="Arial" w:cs="Arial"/>
          <w:sz w:val="20"/>
          <w:szCs w:val="20"/>
        </w:rPr>
        <w:t>total number of requested health education courses in middle and primary school</w:t>
      </w:r>
      <w:r w:rsidR="007E521F">
        <w:rPr>
          <w:rFonts w:ascii="Arial" w:hAnsi="Arial" w:cs="Arial"/>
          <w:sz w:val="20"/>
          <w:szCs w:val="20"/>
        </w:rPr>
        <w:t>s,</w:t>
      </w:r>
      <w:r w:rsidRPr="00A72B35">
        <w:rPr>
          <w:rFonts w:ascii="Arial" w:hAnsi="Arial" w:cs="Arial"/>
          <w:sz w:val="20"/>
          <w:szCs w:val="20"/>
        </w:rPr>
        <w:t xml:space="preserve"> respectively.</w:t>
      </w:r>
      <w:r w:rsidRPr="00A72B35">
        <w:rPr>
          <w:rFonts w:ascii="Arial" w:hAnsi="Arial" w:cs="Arial"/>
          <w:b/>
          <w:sz w:val="20"/>
          <w:szCs w:val="20"/>
        </w:rPr>
        <w:br/>
        <w:t>HCI 33: Number of old-age beds per 1,000 elderly people</w:t>
      </w:r>
    </w:p>
    <w:p w14:paraId="26AE3050" w14:textId="77777777"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Number of beds for various types of aged care service agencies owned by each thousand elderly people, expressed in pieces/1,000 person.</w:t>
      </w:r>
      <w:r w:rsidRPr="00A72B35">
        <w:rPr>
          <w:rFonts w:ascii="Arial" w:hAnsi="Arial" w:cs="Arial"/>
          <w:b/>
          <w:sz w:val="20"/>
          <w:szCs w:val="20"/>
        </w:rPr>
        <w:br/>
        <w:t>HCI 34: Public transport mode share (%)</w:t>
      </w:r>
    </w:p>
    <w:p w14:paraId="0380469B" w14:textId="6FA034FC"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The ratio of the</w:t>
      </w:r>
      <w:r w:rsidR="007E521F">
        <w:rPr>
          <w:rFonts w:ascii="Arial" w:hAnsi="Arial" w:cs="Arial"/>
          <w:sz w:val="20"/>
          <w:szCs w:val="20"/>
        </w:rPr>
        <w:t xml:space="preserve"> number</w:t>
      </w:r>
      <w:r w:rsidRPr="00A72B35">
        <w:rPr>
          <w:rFonts w:ascii="Arial" w:hAnsi="Arial" w:cs="Arial"/>
          <w:sz w:val="20"/>
          <w:szCs w:val="20"/>
        </w:rPr>
        <w:t xml:space="preserve"> of trip</w:t>
      </w:r>
      <w:r w:rsidR="007E521F">
        <w:rPr>
          <w:rFonts w:ascii="Arial" w:hAnsi="Arial" w:cs="Arial"/>
          <w:sz w:val="20"/>
          <w:szCs w:val="20"/>
        </w:rPr>
        <w:t>s</w:t>
      </w:r>
      <w:r w:rsidRPr="00A72B35">
        <w:rPr>
          <w:rFonts w:ascii="Arial" w:hAnsi="Arial" w:cs="Arial"/>
          <w:sz w:val="20"/>
          <w:szCs w:val="20"/>
        </w:rPr>
        <w:t xml:space="preserve"> by public transport (including regular public transport and rail transit) to </w:t>
      </w:r>
      <w:r w:rsidR="007E521F">
        <w:rPr>
          <w:rFonts w:ascii="Arial" w:hAnsi="Arial" w:cs="Arial"/>
          <w:sz w:val="20"/>
          <w:szCs w:val="20"/>
        </w:rPr>
        <w:t xml:space="preserve">the </w:t>
      </w:r>
      <w:r w:rsidRPr="00A72B35">
        <w:rPr>
          <w:rFonts w:ascii="Arial" w:hAnsi="Arial" w:cs="Arial"/>
          <w:sz w:val="20"/>
          <w:szCs w:val="20"/>
        </w:rPr>
        <w:t>total trip volume among urban residents</w:t>
      </w:r>
      <w:r w:rsidRPr="00F96113">
        <w:rPr>
          <w:rFonts w:ascii="Arial" w:hAnsi="Arial" w:cs="Arial"/>
          <w:bCs/>
          <w:sz w:val="20"/>
          <w:szCs w:val="20"/>
        </w:rPr>
        <w:t>.</w:t>
      </w:r>
    </w:p>
    <w:p w14:paraId="6B215E1B"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35: Traffic accident rate per 10,000 vehicles</w:t>
      </w:r>
    </w:p>
    <w:p w14:paraId="7A241BAE" w14:textId="77777777"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number of accidents per 10,000 vehicles annually.</w:t>
      </w:r>
    </w:p>
    <w:p w14:paraId="5646D560" w14:textId="313FE12A" w:rsidR="00551F05" w:rsidRPr="00A72B35" w:rsidRDefault="00551F05" w:rsidP="00861B37">
      <w:pPr>
        <w:spacing w:line="480" w:lineRule="auto"/>
        <w:ind w:firstLineChars="200" w:firstLine="400"/>
        <w:rPr>
          <w:rFonts w:ascii="Arial" w:hAnsi="Arial" w:cs="Arial"/>
          <w:b/>
          <w:sz w:val="20"/>
          <w:szCs w:val="20"/>
        </w:rPr>
      </w:pPr>
      <w:r w:rsidRPr="00A72B35">
        <w:rPr>
          <w:rFonts w:ascii="Arial" w:hAnsi="Arial" w:cs="Arial"/>
          <w:sz w:val="20"/>
          <w:szCs w:val="20"/>
        </w:rPr>
        <w:t>The traffic accident rate shows the relationship between the number of traffic accidents or the number of casualties and deaths within a certain period</w:t>
      </w:r>
      <w:r w:rsidR="007E521F">
        <w:rPr>
          <w:rFonts w:ascii="Arial" w:hAnsi="Arial" w:cs="Arial"/>
          <w:sz w:val="20"/>
          <w:szCs w:val="20"/>
        </w:rPr>
        <w:t>/region</w:t>
      </w:r>
      <w:r w:rsidRPr="00A72B35">
        <w:rPr>
          <w:rFonts w:ascii="Arial" w:hAnsi="Arial" w:cs="Arial"/>
          <w:sz w:val="20"/>
          <w:szCs w:val="20"/>
        </w:rPr>
        <w:t xml:space="preserve"> in the country and the number of people, the number of registered (mobile) vehicles and the running mileage. In China, the number</w:t>
      </w:r>
      <w:r w:rsidR="007E521F">
        <w:rPr>
          <w:rFonts w:ascii="Arial" w:hAnsi="Arial" w:cs="Arial"/>
          <w:sz w:val="20"/>
          <w:szCs w:val="20"/>
        </w:rPr>
        <w:t>s</w:t>
      </w:r>
      <w:r w:rsidRPr="00A72B35">
        <w:rPr>
          <w:rFonts w:ascii="Arial" w:hAnsi="Arial" w:cs="Arial"/>
          <w:sz w:val="20"/>
          <w:szCs w:val="20"/>
        </w:rPr>
        <w:t xml:space="preserve"> of accidents, injur</w:t>
      </w:r>
      <w:r w:rsidR="007E521F">
        <w:rPr>
          <w:rFonts w:ascii="Arial" w:hAnsi="Arial" w:cs="Arial"/>
          <w:sz w:val="20"/>
          <w:szCs w:val="20"/>
        </w:rPr>
        <w:t>i</w:t>
      </w:r>
      <w:r w:rsidRPr="00A72B35">
        <w:rPr>
          <w:rFonts w:ascii="Arial" w:hAnsi="Arial" w:cs="Arial"/>
          <w:sz w:val="20"/>
          <w:szCs w:val="20"/>
        </w:rPr>
        <w:t>e</w:t>
      </w:r>
      <w:r w:rsidR="007E521F">
        <w:rPr>
          <w:rFonts w:ascii="Arial" w:hAnsi="Arial" w:cs="Arial"/>
          <w:sz w:val="20"/>
          <w:szCs w:val="20"/>
        </w:rPr>
        <w:t>s</w:t>
      </w:r>
      <w:r w:rsidRPr="00A72B35">
        <w:rPr>
          <w:rFonts w:ascii="Arial" w:hAnsi="Arial" w:cs="Arial"/>
          <w:sz w:val="20"/>
          <w:szCs w:val="20"/>
        </w:rPr>
        <w:t xml:space="preserve">, </w:t>
      </w:r>
      <w:r w:rsidR="007E521F">
        <w:rPr>
          <w:rFonts w:ascii="Arial" w:hAnsi="Arial" w:cs="Arial"/>
          <w:sz w:val="20"/>
          <w:szCs w:val="20"/>
        </w:rPr>
        <w:t xml:space="preserve">and </w:t>
      </w:r>
      <w:r w:rsidRPr="00A72B35">
        <w:rPr>
          <w:rFonts w:ascii="Arial" w:hAnsi="Arial" w:cs="Arial"/>
          <w:sz w:val="20"/>
          <w:szCs w:val="20"/>
        </w:rPr>
        <w:t xml:space="preserve">deaths, and the amount of direct economic losses are compared with the same period of the previous year, indicating the rise and fall of the accident rate. </w:t>
      </w:r>
      <w:r w:rsidRPr="00A72B35">
        <w:rPr>
          <w:rFonts w:ascii="Arial" w:hAnsi="Arial" w:cs="Arial"/>
          <w:b/>
          <w:sz w:val="20"/>
          <w:szCs w:val="20"/>
        </w:rPr>
        <w:br/>
        <w:t>HCI 36: Road traffic injury mortality (%)</w:t>
      </w:r>
    </w:p>
    <w:p w14:paraId="7674A4C1" w14:textId="78DC4C60"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Definition: The ratio of </w:t>
      </w:r>
      <w:r w:rsidR="007E521F">
        <w:rPr>
          <w:rFonts w:ascii="Arial" w:hAnsi="Arial" w:cs="Arial"/>
          <w:bCs/>
          <w:sz w:val="20"/>
          <w:szCs w:val="20"/>
        </w:rPr>
        <w:t xml:space="preserve">the </w:t>
      </w:r>
      <w:r w:rsidRPr="00A72B35">
        <w:rPr>
          <w:rFonts w:ascii="Arial" w:hAnsi="Arial" w:cs="Arial"/>
          <w:bCs/>
          <w:sz w:val="20"/>
          <w:szCs w:val="20"/>
        </w:rPr>
        <w:t>number of people killed by traffic injuries to the average population of traffic</w:t>
      </w:r>
      <w:r w:rsidR="007E521F">
        <w:rPr>
          <w:rFonts w:ascii="Arial" w:hAnsi="Arial" w:cs="Arial"/>
          <w:bCs/>
          <w:sz w:val="20"/>
          <w:szCs w:val="20"/>
        </w:rPr>
        <w:t>-related</w:t>
      </w:r>
      <w:r w:rsidRPr="00A72B35">
        <w:rPr>
          <w:rFonts w:ascii="Arial" w:hAnsi="Arial" w:cs="Arial"/>
          <w:bCs/>
          <w:sz w:val="20"/>
          <w:szCs w:val="20"/>
        </w:rPr>
        <w:t xml:space="preserve"> injuries during the same period, expressed in ratio</w:t>
      </w:r>
      <w:r w:rsidR="007E521F">
        <w:rPr>
          <w:rFonts w:ascii="Arial" w:hAnsi="Arial" w:cs="Arial"/>
          <w:bCs/>
          <w:sz w:val="20"/>
          <w:szCs w:val="20"/>
        </w:rPr>
        <w:t xml:space="preserve"> </w:t>
      </w:r>
      <w:r w:rsidRPr="00A72B35">
        <w:rPr>
          <w:rFonts w:ascii="Arial" w:hAnsi="Arial" w:cs="Arial"/>
          <w:bCs/>
          <w:sz w:val="20"/>
          <w:szCs w:val="20"/>
        </w:rPr>
        <w:t>×100</w:t>
      </w:r>
      <w:r w:rsidR="007E521F">
        <w:rPr>
          <w:rFonts w:ascii="Arial" w:hAnsi="Arial" w:cs="Arial"/>
          <w:bCs/>
          <w:sz w:val="20"/>
          <w:szCs w:val="20"/>
        </w:rPr>
        <w:t>,</w:t>
      </w:r>
      <w:r w:rsidRPr="00A72B35">
        <w:rPr>
          <w:rFonts w:ascii="Arial" w:hAnsi="Arial" w:cs="Arial"/>
          <w:bCs/>
          <w:sz w:val="20"/>
          <w:szCs w:val="20"/>
        </w:rPr>
        <w:t xml:space="preserve">000/100,000. </w:t>
      </w:r>
      <w:r w:rsidR="007E521F">
        <w:rPr>
          <w:rFonts w:ascii="Arial" w:hAnsi="Arial" w:cs="Arial"/>
          <w:bCs/>
          <w:sz w:val="20"/>
          <w:szCs w:val="20"/>
        </w:rPr>
        <w:t>This indicator</w:t>
      </w:r>
      <w:r w:rsidRPr="00A72B35">
        <w:rPr>
          <w:rFonts w:ascii="Arial" w:hAnsi="Arial" w:cs="Arial"/>
          <w:bCs/>
          <w:sz w:val="20"/>
          <w:szCs w:val="20"/>
        </w:rPr>
        <w:t xml:space="preserve"> </w:t>
      </w:r>
      <w:r w:rsidR="007E521F">
        <w:rPr>
          <w:rFonts w:ascii="Arial" w:hAnsi="Arial" w:cs="Arial"/>
          <w:bCs/>
          <w:sz w:val="20"/>
          <w:szCs w:val="20"/>
        </w:rPr>
        <w:t>refers to</w:t>
      </w:r>
      <w:r w:rsidR="007E521F" w:rsidRPr="00A72B35">
        <w:rPr>
          <w:rFonts w:ascii="Arial" w:hAnsi="Arial" w:cs="Arial"/>
          <w:bCs/>
          <w:sz w:val="20"/>
          <w:szCs w:val="20"/>
        </w:rPr>
        <w:t xml:space="preserve"> </w:t>
      </w:r>
      <w:r w:rsidRPr="00A72B35">
        <w:rPr>
          <w:rFonts w:ascii="Arial" w:hAnsi="Arial" w:cs="Arial"/>
          <w:bCs/>
          <w:sz w:val="20"/>
          <w:szCs w:val="20"/>
        </w:rPr>
        <w:t>the frequency of death from traffic injury.</w:t>
      </w:r>
    </w:p>
    <w:p w14:paraId="73E17AFE"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37: Per capita housing area (m</w:t>
      </w:r>
      <w:r w:rsidRPr="00A72B35">
        <w:rPr>
          <w:rFonts w:ascii="Arial" w:hAnsi="Arial" w:cs="Arial"/>
          <w:b/>
          <w:sz w:val="20"/>
          <w:szCs w:val="20"/>
          <w:vertAlign w:val="superscript"/>
        </w:rPr>
        <w:t>2</w:t>
      </w:r>
      <w:r w:rsidRPr="00A72B35">
        <w:rPr>
          <w:rFonts w:ascii="Arial" w:hAnsi="Arial" w:cs="Arial"/>
          <w:b/>
          <w:sz w:val="20"/>
          <w:szCs w:val="20"/>
        </w:rPr>
        <w:t>/person)</w:t>
      </w:r>
    </w:p>
    <w:p w14:paraId="2C385E48" w14:textId="41557930"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 xml:space="preserve">Definition: The average residential housing area per person calculated by </w:t>
      </w:r>
      <w:r w:rsidR="007E521F">
        <w:rPr>
          <w:rFonts w:ascii="Arial" w:hAnsi="Arial" w:cs="Arial"/>
          <w:sz w:val="20"/>
          <w:szCs w:val="20"/>
        </w:rPr>
        <w:t xml:space="preserve">the </w:t>
      </w:r>
      <w:r w:rsidRPr="00A72B35">
        <w:rPr>
          <w:rFonts w:ascii="Arial" w:hAnsi="Arial" w:cs="Arial"/>
          <w:sz w:val="20"/>
          <w:szCs w:val="20"/>
        </w:rPr>
        <w:t>resident population</w:t>
      </w:r>
      <w:r w:rsidRPr="00A72B35">
        <w:rPr>
          <w:rFonts w:ascii="Arial" w:hAnsi="Arial" w:cs="Arial"/>
          <w:color w:val="333333"/>
          <w:sz w:val="20"/>
          <w:szCs w:val="20"/>
        </w:rPr>
        <w:t xml:space="preserve"> </w:t>
      </w:r>
      <w:r w:rsidRPr="00A72B35">
        <w:rPr>
          <w:rFonts w:ascii="Arial" w:hAnsi="Arial" w:cs="Arial"/>
          <w:sz w:val="20"/>
          <w:szCs w:val="20"/>
        </w:rPr>
        <w:br/>
      </w:r>
      <w:r w:rsidRPr="00A72B35">
        <w:rPr>
          <w:rFonts w:ascii="Arial" w:hAnsi="Arial" w:cs="Arial"/>
          <w:b/>
          <w:sz w:val="20"/>
          <w:szCs w:val="20"/>
        </w:rPr>
        <w:t>HCI 38: Number of general practitioners (person/10,000 people)</w:t>
      </w:r>
    </w:p>
    <w:p w14:paraId="0985BB50" w14:textId="60FA4378"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lastRenderedPageBreak/>
        <w:t>Definition: The number of general practitioners per 10,000 inhabitants.</w:t>
      </w:r>
      <w:r w:rsidRPr="00A72B35">
        <w:rPr>
          <w:rFonts w:ascii="Arial" w:hAnsi="Arial" w:cs="Arial"/>
          <w:sz w:val="20"/>
          <w:szCs w:val="20"/>
        </w:rPr>
        <w:br/>
      </w:r>
      <w:r w:rsidRPr="00A72B35">
        <w:rPr>
          <w:rFonts w:ascii="Arial" w:hAnsi="Arial" w:cs="Arial"/>
          <w:b/>
          <w:sz w:val="20"/>
          <w:szCs w:val="20"/>
        </w:rPr>
        <w:t>HCI 39: Number of public health personnel (person/10,000 people)</w:t>
      </w:r>
    </w:p>
    <w:p w14:paraId="6A6FA6A7" w14:textId="7BFB2DA1"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Definition: The total number of public health workers per 10,000</w:t>
      </w:r>
      <w:r w:rsidRPr="00A72B35">
        <w:rPr>
          <w:rFonts w:ascii="Arial" w:hAnsi="Arial" w:cs="Arial"/>
          <w:sz w:val="20"/>
          <w:szCs w:val="20"/>
        </w:rPr>
        <w:t xml:space="preserve"> inhabitants.</w:t>
      </w:r>
    </w:p>
    <w:p w14:paraId="58595684" w14:textId="5410016D"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40: Number of registered nurses (person/10,000 people)</w:t>
      </w:r>
    </w:p>
    <w:p w14:paraId="7658FDD6" w14:textId="5B4167E0"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The number of registered nurses per 10,000 inhabitants.</w:t>
      </w:r>
      <w:r w:rsidRPr="00A72B35">
        <w:rPr>
          <w:rFonts w:ascii="Arial" w:hAnsi="Arial" w:cs="Arial"/>
          <w:b/>
          <w:sz w:val="20"/>
          <w:szCs w:val="20"/>
        </w:rPr>
        <w:br/>
        <w:t>HCI 41: Number of Psychiatric Practitioners (</w:t>
      </w:r>
      <w:r w:rsidR="007E521F">
        <w:rPr>
          <w:rFonts w:ascii="Arial" w:hAnsi="Arial" w:cs="Arial"/>
          <w:b/>
          <w:sz w:val="20"/>
          <w:szCs w:val="20"/>
        </w:rPr>
        <w:t>a</w:t>
      </w:r>
      <w:r w:rsidR="007E521F" w:rsidRPr="00A72B35">
        <w:rPr>
          <w:rFonts w:ascii="Arial" w:hAnsi="Arial" w:cs="Arial"/>
          <w:b/>
          <w:sz w:val="20"/>
          <w:szCs w:val="20"/>
        </w:rPr>
        <w:t>ssistant</w:t>
      </w:r>
      <w:r w:rsidRPr="00A72B35">
        <w:rPr>
          <w:rFonts w:ascii="Arial" w:hAnsi="Arial" w:cs="Arial"/>
          <w:b/>
          <w:sz w:val="20"/>
          <w:szCs w:val="20"/>
        </w:rPr>
        <w:t>) (person/100,000 people)</w:t>
      </w:r>
    </w:p>
    <w:p w14:paraId="4F0EEC8F" w14:textId="26F99080"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The number of Psychiatric Practitioners (Assistant) per 100,000 inhabitants.</w:t>
      </w:r>
      <w:r w:rsidRPr="00A72B35">
        <w:rPr>
          <w:rFonts w:ascii="Arial" w:hAnsi="Arial" w:cs="Arial"/>
          <w:b/>
          <w:sz w:val="20"/>
          <w:szCs w:val="20"/>
        </w:rPr>
        <w:br/>
        <w:t xml:space="preserve">HCI 42: Number of hospital beds in </w:t>
      </w:r>
      <w:r w:rsidR="007E521F">
        <w:rPr>
          <w:rFonts w:ascii="Arial" w:hAnsi="Arial" w:cs="Arial"/>
          <w:b/>
          <w:sz w:val="20"/>
          <w:szCs w:val="20"/>
        </w:rPr>
        <w:t>p</w:t>
      </w:r>
      <w:r w:rsidR="007E521F" w:rsidRPr="00A72B35">
        <w:rPr>
          <w:rFonts w:ascii="Arial" w:hAnsi="Arial" w:cs="Arial"/>
          <w:b/>
          <w:sz w:val="20"/>
          <w:szCs w:val="20"/>
        </w:rPr>
        <w:t xml:space="preserve">ublic </w:t>
      </w:r>
      <w:r w:rsidRPr="00A72B35">
        <w:rPr>
          <w:rFonts w:ascii="Arial" w:hAnsi="Arial" w:cs="Arial"/>
          <w:b/>
          <w:sz w:val="20"/>
          <w:szCs w:val="20"/>
        </w:rPr>
        <w:t>traditional Chinese medicine hospitals (pieces/1,000 people)</w:t>
      </w:r>
    </w:p>
    <w:p w14:paraId="0A96007F" w14:textId="4F293F76"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The number of beds in</w:t>
      </w:r>
      <w:r w:rsidRPr="00A72B35">
        <w:rPr>
          <w:rFonts w:ascii="Arial" w:hAnsi="Arial" w:cs="Arial"/>
          <w:bCs/>
          <w:sz w:val="20"/>
          <w:szCs w:val="20"/>
        </w:rPr>
        <w:t xml:space="preserve"> </w:t>
      </w:r>
      <w:r w:rsidR="007E521F">
        <w:rPr>
          <w:rFonts w:ascii="Arial" w:hAnsi="Arial" w:cs="Arial"/>
          <w:bCs/>
          <w:sz w:val="20"/>
          <w:szCs w:val="20"/>
        </w:rPr>
        <w:t>p</w:t>
      </w:r>
      <w:r w:rsidR="007E521F" w:rsidRPr="00A72B35">
        <w:rPr>
          <w:rFonts w:ascii="Arial" w:hAnsi="Arial" w:cs="Arial"/>
          <w:bCs/>
          <w:sz w:val="20"/>
          <w:szCs w:val="20"/>
        </w:rPr>
        <w:t xml:space="preserve">ublic </w:t>
      </w:r>
      <w:r w:rsidRPr="00A72B35">
        <w:rPr>
          <w:rFonts w:ascii="Arial" w:hAnsi="Arial" w:cs="Arial"/>
          <w:bCs/>
          <w:sz w:val="20"/>
          <w:szCs w:val="20"/>
        </w:rPr>
        <w:t>traditional Chinese medicine hospital</w:t>
      </w:r>
      <w:r w:rsidRPr="00A72B35">
        <w:rPr>
          <w:rFonts w:ascii="Arial" w:hAnsi="Arial" w:cs="Arial"/>
          <w:sz w:val="20"/>
          <w:szCs w:val="20"/>
        </w:rPr>
        <w:t>s, by per 1,000 inhabitants.</w:t>
      </w:r>
    </w:p>
    <w:p w14:paraId="379DB3BF"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43: Number of beds in medical institutions per thousand population (pieces/1,000 people)</w:t>
      </w:r>
    </w:p>
    <w:p w14:paraId="38057549" w14:textId="7C747E36"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The number of beds in health care institutions per 1,000 inhabitants.</w:t>
      </w:r>
    </w:p>
    <w:p w14:paraId="447155A0" w14:textId="1C1AD07C"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44: Health expenditure account</w:t>
      </w:r>
      <w:r w:rsidR="007E521F">
        <w:rPr>
          <w:rFonts w:ascii="Arial" w:hAnsi="Arial" w:cs="Arial"/>
          <w:b/>
          <w:sz w:val="20"/>
          <w:szCs w:val="20"/>
        </w:rPr>
        <w:t>ing</w:t>
      </w:r>
      <w:r w:rsidRPr="00A72B35">
        <w:rPr>
          <w:rFonts w:ascii="Arial" w:hAnsi="Arial" w:cs="Arial"/>
          <w:b/>
          <w:sz w:val="20"/>
          <w:szCs w:val="20"/>
        </w:rPr>
        <w:t xml:space="preserve"> for the proportion of fiscal expenditure (%)</w:t>
      </w:r>
    </w:p>
    <w:p w14:paraId="17C13837" w14:textId="4BBCEA0E" w:rsidR="007E521F" w:rsidRDefault="00551F05" w:rsidP="00861B37">
      <w:pPr>
        <w:spacing w:line="480" w:lineRule="auto"/>
        <w:rPr>
          <w:rFonts w:ascii="Arial" w:hAnsi="Arial" w:cs="Arial"/>
          <w:bCs/>
          <w:sz w:val="20"/>
          <w:szCs w:val="20"/>
        </w:rPr>
      </w:pPr>
      <w:r w:rsidRPr="00A72B35">
        <w:rPr>
          <w:rFonts w:ascii="Arial" w:hAnsi="Arial" w:cs="Arial"/>
          <w:sz w:val="20"/>
          <w:szCs w:val="20"/>
        </w:rPr>
        <w:t xml:space="preserve">Definition: Health care expenditure as a percentage of fiscal expenditure, </w:t>
      </w:r>
      <w:r w:rsidR="007E521F">
        <w:rPr>
          <w:rFonts w:ascii="Arial" w:hAnsi="Arial" w:cs="Arial"/>
          <w:sz w:val="20"/>
          <w:szCs w:val="20"/>
        </w:rPr>
        <w:t xml:space="preserve">which </w:t>
      </w:r>
      <w:r w:rsidRPr="00A72B35">
        <w:rPr>
          <w:rFonts w:ascii="Arial" w:hAnsi="Arial" w:cs="Arial"/>
          <w:sz w:val="20"/>
          <w:szCs w:val="20"/>
        </w:rPr>
        <w:t>reflect</w:t>
      </w:r>
      <w:r w:rsidR="007E521F">
        <w:rPr>
          <w:rFonts w:ascii="Arial" w:hAnsi="Arial" w:cs="Arial"/>
          <w:sz w:val="20"/>
          <w:szCs w:val="20"/>
        </w:rPr>
        <w:t>s</w:t>
      </w:r>
      <w:r w:rsidRPr="00A72B35">
        <w:rPr>
          <w:rFonts w:ascii="Arial" w:hAnsi="Arial" w:cs="Arial"/>
          <w:sz w:val="20"/>
          <w:szCs w:val="20"/>
        </w:rPr>
        <w:t xml:space="preserve"> the government's investment.</w:t>
      </w:r>
      <w:r w:rsidRPr="00A72B35">
        <w:rPr>
          <w:rFonts w:ascii="Arial" w:hAnsi="Arial" w:cs="Arial"/>
          <w:sz w:val="20"/>
          <w:szCs w:val="20"/>
        </w:rPr>
        <w:br/>
      </w:r>
      <w:r w:rsidRPr="00A72B35">
        <w:rPr>
          <w:rFonts w:ascii="Arial" w:hAnsi="Arial" w:cs="Arial"/>
          <w:b/>
          <w:sz w:val="20"/>
          <w:szCs w:val="20"/>
        </w:rPr>
        <w:t>HCI 45: The scale of the health service industry (trillion RMB)</w:t>
      </w:r>
    </w:p>
    <w:p w14:paraId="4AEEA860" w14:textId="6363DA70" w:rsidR="00551F05" w:rsidRPr="00A72B35" w:rsidRDefault="00551F05" w:rsidP="00F96113">
      <w:pPr>
        <w:spacing w:line="480" w:lineRule="auto"/>
        <w:ind w:firstLineChars="200" w:firstLine="400"/>
        <w:rPr>
          <w:rFonts w:ascii="Arial" w:hAnsi="Arial" w:cs="Arial"/>
          <w:b/>
          <w:sz w:val="20"/>
          <w:szCs w:val="20"/>
        </w:rPr>
      </w:pPr>
      <w:r w:rsidRPr="00A72B35">
        <w:rPr>
          <w:rFonts w:ascii="Arial" w:hAnsi="Arial" w:cs="Arial"/>
          <w:bCs/>
          <w:sz w:val="20"/>
          <w:szCs w:val="20"/>
        </w:rPr>
        <w:t>The health service industry mainly includes medical services, health management and promotion, health insurance and related services</w:t>
      </w:r>
      <w:r w:rsidR="007E521F">
        <w:rPr>
          <w:rFonts w:ascii="Arial" w:hAnsi="Arial" w:cs="Arial"/>
          <w:bCs/>
          <w:sz w:val="20"/>
          <w:szCs w:val="20"/>
        </w:rPr>
        <w:t>;</w:t>
      </w:r>
      <w:r w:rsidRPr="00A72B35">
        <w:rPr>
          <w:rFonts w:ascii="Arial" w:hAnsi="Arial" w:cs="Arial"/>
          <w:bCs/>
          <w:sz w:val="20"/>
          <w:szCs w:val="20"/>
        </w:rPr>
        <w:t xml:space="preserve"> </w:t>
      </w:r>
      <w:r w:rsidR="007E521F">
        <w:rPr>
          <w:rFonts w:ascii="Arial" w:hAnsi="Arial" w:cs="Arial"/>
          <w:bCs/>
          <w:sz w:val="20"/>
          <w:szCs w:val="20"/>
        </w:rPr>
        <w:t xml:space="preserve">it also </w:t>
      </w:r>
      <w:r w:rsidRPr="00A72B35">
        <w:rPr>
          <w:rFonts w:ascii="Arial" w:hAnsi="Arial" w:cs="Arial"/>
          <w:bCs/>
          <w:sz w:val="20"/>
          <w:szCs w:val="20"/>
        </w:rPr>
        <w:t>involves supporting industries</w:t>
      </w:r>
      <w:r w:rsidR="00D72A23">
        <w:rPr>
          <w:rFonts w:ascii="Arial" w:hAnsi="Arial" w:cs="Arial"/>
          <w:bCs/>
          <w:sz w:val="20"/>
          <w:szCs w:val="20"/>
        </w:rPr>
        <w:t>,</w:t>
      </w:r>
      <w:r w:rsidRPr="00A72B35">
        <w:rPr>
          <w:rFonts w:ascii="Arial" w:hAnsi="Arial" w:cs="Arial"/>
          <w:bCs/>
          <w:sz w:val="20"/>
          <w:szCs w:val="20"/>
        </w:rPr>
        <w:t xml:space="preserve"> such as medicines, medical equipment, health products, health foods, and fitness products.</w:t>
      </w:r>
    </w:p>
    <w:p w14:paraId="40BE4F21"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46: Filing rate of standardized Electronic Health Records (%)</w:t>
      </w:r>
    </w:p>
    <w:p w14:paraId="5FEE802D" w14:textId="08BFF92C"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 xml:space="preserve">Definition: </w:t>
      </w:r>
      <w:r w:rsidR="00D72A23">
        <w:rPr>
          <w:rFonts w:ascii="Arial" w:hAnsi="Arial" w:cs="Arial"/>
          <w:sz w:val="20"/>
          <w:szCs w:val="20"/>
        </w:rPr>
        <w:t>Percentage</w:t>
      </w:r>
      <w:r w:rsidR="00D72A23" w:rsidRPr="00A72B35">
        <w:rPr>
          <w:rFonts w:ascii="Arial" w:hAnsi="Arial" w:cs="Arial"/>
          <w:sz w:val="20"/>
          <w:szCs w:val="20"/>
        </w:rPr>
        <w:t xml:space="preserve"> </w:t>
      </w:r>
      <w:r w:rsidRPr="00A72B35">
        <w:rPr>
          <w:rFonts w:ascii="Arial" w:hAnsi="Arial" w:cs="Arial"/>
          <w:sz w:val="20"/>
          <w:szCs w:val="20"/>
        </w:rPr>
        <w:t>of inhabitants who have established standardized electronic health records in their jurisdiction.</w:t>
      </w:r>
    </w:p>
    <w:p w14:paraId="5BB81A5C"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47: Systematic management rate of children (%)</w:t>
      </w:r>
    </w:p>
    <w:p w14:paraId="40D8175C" w14:textId="2C000D64"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The number of children aged 0</w:t>
      </w:r>
      <w:r w:rsidR="00D72A23">
        <w:rPr>
          <w:rFonts w:ascii="Arial" w:hAnsi="Arial" w:cs="Arial"/>
          <w:sz w:val="20"/>
          <w:szCs w:val="20"/>
        </w:rPr>
        <w:t>–</w:t>
      </w:r>
      <w:r w:rsidRPr="00A72B35">
        <w:rPr>
          <w:rFonts w:ascii="Arial" w:hAnsi="Arial" w:cs="Arial"/>
          <w:sz w:val="20"/>
          <w:szCs w:val="20"/>
        </w:rPr>
        <w:t>6 who received one or more follow-ups in the annual jurisdiction accounted for the percentage of children aged 0</w:t>
      </w:r>
      <w:r w:rsidR="00287C84">
        <w:rPr>
          <w:rFonts w:ascii="Arial" w:hAnsi="Arial" w:cs="Arial"/>
          <w:sz w:val="20"/>
          <w:szCs w:val="20"/>
        </w:rPr>
        <w:t>–</w:t>
      </w:r>
      <w:r w:rsidRPr="00A72B35">
        <w:rPr>
          <w:rFonts w:ascii="Arial" w:hAnsi="Arial" w:cs="Arial"/>
          <w:sz w:val="20"/>
          <w:szCs w:val="20"/>
        </w:rPr>
        <w:t>6 in the annual jurisdiction.</w:t>
      </w:r>
      <w:r w:rsidRPr="00A72B35">
        <w:rPr>
          <w:rFonts w:ascii="Arial" w:hAnsi="Arial" w:cs="Arial"/>
          <w:sz w:val="20"/>
          <w:szCs w:val="20"/>
        </w:rPr>
        <w:br/>
      </w:r>
      <w:r w:rsidRPr="00A72B35">
        <w:rPr>
          <w:rFonts w:ascii="Arial" w:hAnsi="Arial" w:cs="Arial"/>
          <w:b/>
          <w:sz w:val="20"/>
          <w:szCs w:val="20"/>
        </w:rPr>
        <w:t xml:space="preserve">HCI 48: Systematic management rate of pregnant </w:t>
      </w:r>
      <w:r w:rsidR="009A3278" w:rsidRPr="00A72B35">
        <w:rPr>
          <w:rFonts w:ascii="Arial" w:hAnsi="Arial" w:cs="Arial"/>
          <w:b/>
          <w:sz w:val="20"/>
          <w:szCs w:val="20"/>
        </w:rPr>
        <w:t>wom</w:t>
      </w:r>
      <w:r w:rsidR="009A3278">
        <w:rPr>
          <w:rFonts w:ascii="Arial" w:hAnsi="Arial" w:cs="Arial"/>
          <w:b/>
          <w:sz w:val="20"/>
          <w:szCs w:val="20"/>
        </w:rPr>
        <w:t>e</w:t>
      </w:r>
      <w:r w:rsidR="009A3278" w:rsidRPr="00A72B35">
        <w:rPr>
          <w:rFonts w:ascii="Arial" w:hAnsi="Arial" w:cs="Arial"/>
          <w:b/>
          <w:sz w:val="20"/>
          <w:szCs w:val="20"/>
        </w:rPr>
        <w:t xml:space="preserve">n </w:t>
      </w:r>
      <w:r w:rsidRPr="00A72B35">
        <w:rPr>
          <w:rFonts w:ascii="Arial" w:hAnsi="Arial" w:cs="Arial"/>
          <w:b/>
          <w:sz w:val="20"/>
          <w:szCs w:val="20"/>
        </w:rPr>
        <w:t>and parturient (%)</w:t>
      </w:r>
    </w:p>
    <w:p w14:paraId="3D04F964" w14:textId="5D1EA73C" w:rsidR="00551F05" w:rsidRPr="00A72B35" w:rsidRDefault="00551F05" w:rsidP="00861B37">
      <w:pPr>
        <w:spacing w:line="480" w:lineRule="auto"/>
        <w:rPr>
          <w:rFonts w:ascii="Arial" w:hAnsi="Arial" w:cs="Arial"/>
          <w:bCs/>
          <w:sz w:val="20"/>
          <w:szCs w:val="20"/>
        </w:rPr>
      </w:pPr>
      <w:r w:rsidRPr="00A72B35">
        <w:rPr>
          <w:rFonts w:ascii="Arial" w:hAnsi="Arial" w:cs="Arial"/>
          <w:sz w:val="20"/>
          <w:szCs w:val="20"/>
        </w:rPr>
        <w:t xml:space="preserve">Definition: </w:t>
      </w:r>
      <w:r w:rsidR="009A3278">
        <w:rPr>
          <w:rFonts w:ascii="Arial" w:hAnsi="Arial" w:cs="Arial"/>
          <w:bCs/>
          <w:sz w:val="20"/>
          <w:szCs w:val="20"/>
        </w:rPr>
        <w:t>T</w:t>
      </w:r>
      <w:r w:rsidRPr="00A72B35">
        <w:rPr>
          <w:rFonts w:ascii="Arial" w:hAnsi="Arial" w:cs="Arial"/>
          <w:bCs/>
          <w:sz w:val="20"/>
          <w:szCs w:val="20"/>
        </w:rPr>
        <w:t xml:space="preserve">he ratio of the number of pregnant </w:t>
      </w:r>
      <w:r w:rsidR="009A3278" w:rsidRPr="00A72B35">
        <w:rPr>
          <w:rFonts w:ascii="Arial" w:hAnsi="Arial" w:cs="Arial"/>
          <w:bCs/>
          <w:sz w:val="20"/>
          <w:szCs w:val="20"/>
        </w:rPr>
        <w:t>wom</w:t>
      </w:r>
      <w:r w:rsidR="009A3278">
        <w:rPr>
          <w:rFonts w:ascii="Arial" w:hAnsi="Arial" w:cs="Arial"/>
          <w:bCs/>
          <w:sz w:val="20"/>
          <w:szCs w:val="20"/>
        </w:rPr>
        <w:t>e</w:t>
      </w:r>
      <w:r w:rsidR="009A3278" w:rsidRPr="00A72B35">
        <w:rPr>
          <w:rFonts w:ascii="Arial" w:hAnsi="Arial" w:cs="Arial"/>
          <w:bCs/>
          <w:sz w:val="20"/>
          <w:szCs w:val="20"/>
        </w:rPr>
        <w:t xml:space="preserve">n </w:t>
      </w:r>
      <w:r w:rsidRPr="00A72B35">
        <w:rPr>
          <w:rFonts w:ascii="Arial" w:hAnsi="Arial" w:cs="Arial"/>
          <w:bCs/>
          <w:sz w:val="20"/>
          <w:szCs w:val="20"/>
        </w:rPr>
        <w:t xml:space="preserve">and parturient who received early </w:t>
      </w:r>
      <w:r w:rsidRPr="00A72B35">
        <w:rPr>
          <w:rFonts w:ascii="Arial" w:hAnsi="Arial" w:cs="Arial"/>
          <w:bCs/>
          <w:sz w:val="20"/>
          <w:szCs w:val="20"/>
        </w:rPr>
        <w:lastRenderedPageBreak/>
        <w:t>pregnancy checkups, ≥5 times of prenatal checkups, sterilized delivery and postpartum visits from pregnancy to 28 days after delivery to the number of live births</w:t>
      </w:r>
      <w:r w:rsidR="009A3278" w:rsidRPr="009A3278">
        <w:rPr>
          <w:rFonts w:ascii="Arial" w:hAnsi="Arial" w:cs="Arial"/>
          <w:bCs/>
          <w:sz w:val="20"/>
          <w:szCs w:val="20"/>
        </w:rPr>
        <w:t xml:space="preserve"> </w:t>
      </w:r>
      <w:r w:rsidR="009A3278">
        <w:rPr>
          <w:rFonts w:ascii="Arial" w:hAnsi="Arial" w:cs="Arial"/>
          <w:bCs/>
          <w:sz w:val="20"/>
          <w:szCs w:val="20"/>
        </w:rPr>
        <w:t>d</w:t>
      </w:r>
      <w:r w:rsidR="009A3278" w:rsidRPr="00A72B35">
        <w:rPr>
          <w:rFonts w:ascii="Arial" w:hAnsi="Arial" w:cs="Arial"/>
          <w:bCs/>
          <w:sz w:val="20"/>
          <w:szCs w:val="20"/>
        </w:rPr>
        <w:t>uring the statistical year in the region</w:t>
      </w:r>
      <w:r w:rsidRPr="00A72B35">
        <w:rPr>
          <w:rFonts w:ascii="Arial" w:hAnsi="Arial" w:cs="Arial"/>
          <w:bCs/>
          <w:sz w:val="20"/>
          <w:szCs w:val="20"/>
        </w:rPr>
        <w:t>.</w:t>
      </w:r>
    </w:p>
    <w:p w14:paraId="02E04A6C"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49: Health management rate of the elderly over 65 years old (%)</w:t>
      </w:r>
    </w:p>
    <w:p w14:paraId="7193C395" w14:textId="77777777"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proportion of elderly people aged≥65 who received health management in the jurisdiction during the year.</w:t>
      </w:r>
    </w:p>
    <w:p w14:paraId="4CC32DBB" w14:textId="7C0284F5" w:rsidR="00551F05" w:rsidRPr="00A72B35" w:rsidRDefault="00551F05" w:rsidP="00861B37">
      <w:pPr>
        <w:spacing w:line="480" w:lineRule="auto"/>
        <w:ind w:firstLineChars="200" w:firstLine="400"/>
        <w:rPr>
          <w:rFonts w:ascii="Arial" w:hAnsi="Arial" w:cs="Arial"/>
          <w:sz w:val="20"/>
          <w:szCs w:val="20"/>
        </w:rPr>
      </w:pPr>
      <w:r w:rsidRPr="00A72B35">
        <w:rPr>
          <w:rFonts w:ascii="Arial" w:hAnsi="Arial" w:cs="Arial"/>
          <w:sz w:val="20"/>
          <w:szCs w:val="20"/>
        </w:rPr>
        <w:t xml:space="preserve">The target population </w:t>
      </w:r>
      <w:r w:rsidR="009A3278">
        <w:rPr>
          <w:rFonts w:ascii="Arial" w:hAnsi="Arial" w:cs="Arial"/>
          <w:sz w:val="20"/>
          <w:szCs w:val="20"/>
        </w:rPr>
        <w:t>consists of</w:t>
      </w:r>
      <w:r w:rsidR="009A3278" w:rsidRPr="00A72B35">
        <w:rPr>
          <w:rFonts w:ascii="Arial" w:hAnsi="Arial" w:cs="Arial"/>
          <w:sz w:val="20"/>
          <w:szCs w:val="20"/>
        </w:rPr>
        <w:t xml:space="preserve"> </w:t>
      </w:r>
      <w:r w:rsidRPr="00A72B35">
        <w:rPr>
          <w:rFonts w:ascii="Arial" w:hAnsi="Arial" w:cs="Arial"/>
          <w:sz w:val="20"/>
          <w:szCs w:val="20"/>
        </w:rPr>
        <w:t>the residents aged≥65 who live in the jurisdiction for more than half a year.</w:t>
      </w:r>
    </w:p>
    <w:p w14:paraId="76BE406A" w14:textId="07B394E2"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50: </w:t>
      </w:r>
      <w:r w:rsidR="009A3278">
        <w:rPr>
          <w:rFonts w:ascii="Arial" w:hAnsi="Arial" w:cs="Arial"/>
          <w:b/>
          <w:sz w:val="20"/>
          <w:szCs w:val="20"/>
        </w:rPr>
        <w:t>C</w:t>
      </w:r>
      <w:r w:rsidRPr="00A72B35">
        <w:rPr>
          <w:rFonts w:ascii="Arial" w:hAnsi="Arial" w:cs="Arial"/>
          <w:b/>
          <w:sz w:val="20"/>
          <w:szCs w:val="20"/>
        </w:rPr>
        <w:t>overage rate of key population contract services (%)</w:t>
      </w:r>
    </w:p>
    <w:p w14:paraId="7BBA0868" w14:textId="0F63488B"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w:t>
      </w:r>
      <w:r w:rsidR="009A3278">
        <w:rPr>
          <w:rFonts w:ascii="Arial" w:hAnsi="Arial" w:cs="Arial"/>
          <w:sz w:val="20"/>
          <w:szCs w:val="20"/>
        </w:rPr>
        <w:t>Percentage</w:t>
      </w:r>
      <w:r w:rsidR="009A3278" w:rsidRPr="00A72B35">
        <w:rPr>
          <w:rFonts w:ascii="Arial" w:hAnsi="Arial" w:cs="Arial"/>
          <w:sz w:val="20"/>
          <w:szCs w:val="20"/>
        </w:rPr>
        <w:t xml:space="preserve"> </w:t>
      </w:r>
      <w:r w:rsidRPr="00A72B35">
        <w:rPr>
          <w:rFonts w:ascii="Arial" w:hAnsi="Arial" w:cs="Arial"/>
          <w:sz w:val="20"/>
          <w:szCs w:val="20"/>
        </w:rPr>
        <w:t xml:space="preserve">of key populations who contracted and received services </w:t>
      </w:r>
    </w:p>
    <w:p w14:paraId="2AE17F2F" w14:textId="77777777" w:rsidR="00551F05" w:rsidRPr="00A72B35" w:rsidRDefault="00551F05" w:rsidP="00861B37">
      <w:pPr>
        <w:spacing w:line="480" w:lineRule="auto"/>
        <w:ind w:firstLineChars="200" w:firstLine="400"/>
        <w:rPr>
          <w:rFonts w:ascii="Arial" w:hAnsi="Arial" w:cs="Arial"/>
          <w:sz w:val="20"/>
          <w:szCs w:val="20"/>
        </w:rPr>
      </w:pPr>
      <w:r w:rsidRPr="00A72B35">
        <w:rPr>
          <w:rFonts w:ascii="Arial" w:hAnsi="Arial" w:cs="Arial"/>
          <w:sz w:val="20"/>
          <w:szCs w:val="20"/>
        </w:rPr>
        <w:t>The key population includes elderly people, pregnant women, children, the disabled, and patients with chronic diseases and severe mental disorders</w:t>
      </w:r>
    </w:p>
    <w:p w14:paraId="27D8FC3A"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51: Normative management rate of glycemic control (%)</w:t>
      </w:r>
    </w:p>
    <w:p w14:paraId="4A5101DB" w14:textId="030C3632"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number of diabetes patients who manage blood glucose according to the norm </w:t>
      </w:r>
      <w:r w:rsidR="009A3278" w:rsidRPr="00A72B35">
        <w:rPr>
          <w:rFonts w:ascii="Arial" w:hAnsi="Arial" w:cs="Arial"/>
          <w:sz w:val="20"/>
          <w:szCs w:val="20"/>
        </w:rPr>
        <w:t>account</w:t>
      </w:r>
      <w:r w:rsidR="009A3278">
        <w:rPr>
          <w:rFonts w:ascii="Arial" w:hAnsi="Arial" w:cs="Arial"/>
          <w:sz w:val="20"/>
          <w:szCs w:val="20"/>
        </w:rPr>
        <w:t>ing</w:t>
      </w:r>
      <w:r w:rsidR="009A3278" w:rsidRPr="00A72B35">
        <w:rPr>
          <w:rFonts w:ascii="Arial" w:hAnsi="Arial" w:cs="Arial"/>
          <w:sz w:val="20"/>
          <w:szCs w:val="20"/>
        </w:rPr>
        <w:t xml:space="preserve"> </w:t>
      </w:r>
      <w:r w:rsidRPr="00A72B35">
        <w:rPr>
          <w:rFonts w:ascii="Arial" w:hAnsi="Arial" w:cs="Arial"/>
          <w:sz w:val="20"/>
          <w:szCs w:val="20"/>
        </w:rPr>
        <w:t xml:space="preserve">for the percentage of </w:t>
      </w:r>
      <w:r w:rsidR="009A3278">
        <w:rPr>
          <w:rFonts w:ascii="Arial" w:hAnsi="Arial" w:cs="Arial"/>
          <w:sz w:val="20"/>
          <w:szCs w:val="20"/>
        </w:rPr>
        <w:t xml:space="preserve">the </w:t>
      </w:r>
      <w:r w:rsidRPr="00A72B35">
        <w:rPr>
          <w:rFonts w:ascii="Arial" w:hAnsi="Arial" w:cs="Arial"/>
          <w:sz w:val="20"/>
          <w:szCs w:val="20"/>
        </w:rPr>
        <w:t xml:space="preserve">number of patients </w:t>
      </w:r>
      <w:r w:rsidR="009A3278">
        <w:rPr>
          <w:rFonts w:ascii="Arial" w:hAnsi="Arial" w:cs="Arial"/>
          <w:sz w:val="20"/>
          <w:szCs w:val="20"/>
        </w:rPr>
        <w:t xml:space="preserve">who are able to manage their </w:t>
      </w:r>
      <w:r w:rsidRPr="00A72B35">
        <w:rPr>
          <w:rFonts w:ascii="Arial" w:hAnsi="Arial" w:cs="Arial"/>
          <w:sz w:val="20"/>
          <w:szCs w:val="20"/>
        </w:rPr>
        <w:t>diabetes</w:t>
      </w:r>
      <w:r w:rsidR="009A3278">
        <w:rPr>
          <w:rFonts w:ascii="Arial" w:hAnsi="Arial" w:cs="Arial"/>
          <w:sz w:val="20"/>
          <w:szCs w:val="20"/>
        </w:rPr>
        <w:t xml:space="preserve"> </w:t>
      </w:r>
      <w:r w:rsidRPr="00A72B35">
        <w:rPr>
          <w:rFonts w:ascii="Arial" w:hAnsi="Arial" w:cs="Arial"/>
          <w:sz w:val="20"/>
          <w:szCs w:val="20"/>
        </w:rPr>
        <w:t xml:space="preserve">during the year. </w:t>
      </w:r>
    </w:p>
    <w:p w14:paraId="20C0FEA9" w14:textId="18A7F5D1" w:rsidR="00551F05" w:rsidRPr="00A72B35" w:rsidRDefault="00551F05" w:rsidP="00861B37">
      <w:pPr>
        <w:spacing w:line="480" w:lineRule="auto"/>
        <w:ind w:firstLineChars="200" w:firstLine="400"/>
        <w:rPr>
          <w:rFonts w:ascii="Arial" w:hAnsi="Arial" w:cs="Arial"/>
          <w:b/>
          <w:sz w:val="20"/>
          <w:szCs w:val="20"/>
        </w:rPr>
      </w:pPr>
      <w:r w:rsidRPr="00A72B35">
        <w:rPr>
          <w:rFonts w:ascii="Arial" w:hAnsi="Arial" w:cs="Arial"/>
          <w:sz w:val="20"/>
          <w:szCs w:val="20"/>
        </w:rPr>
        <w:t xml:space="preserve">The target population is type 2 diabetes patients aged 35 years and over </w:t>
      </w:r>
      <w:r w:rsidR="009A3278">
        <w:rPr>
          <w:rFonts w:ascii="Arial" w:hAnsi="Arial" w:cs="Arial"/>
          <w:sz w:val="20"/>
          <w:szCs w:val="20"/>
        </w:rPr>
        <w:t xml:space="preserve">who are living </w:t>
      </w:r>
      <w:r w:rsidRPr="00A72B35">
        <w:rPr>
          <w:rFonts w:ascii="Arial" w:hAnsi="Arial" w:cs="Arial"/>
          <w:sz w:val="20"/>
          <w:szCs w:val="20"/>
        </w:rPr>
        <w:t xml:space="preserve">in the </w:t>
      </w:r>
      <w:r w:rsidR="009A3278">
        <w:rPr>
          <w:rFonts w:ascii="Arial" w:hAnsi="Arial" w:cs="Arial"/>
          <w:sz w:val="20"/>
          <w:szCs w:val="20"/>
        </w:rPr>
        <w:t xml:space="preserve">area of </w:t>
      </w:r>
      <w:r w:rsidRPr="00A72B35">
        <w:rPr>
          <w:rFonts w:ascii="Arial" w:hAnsi="Arial" w:cs="Arial"/>
          <w:sz w:val="20"/>
          <w:szCs w:val="20"/>
        </w:rPr>
        <w:t xml:space="preserve">jurisdiction. </w:t>
      </w:r>
      <w:r w:rsidRPr="00A72B35">
        <w:rPr>
          <w:rFonts w:ascii="Arial" w:hAnsi="Arial" w:cs="Arial"/>
          <w:b/>
          <w:sz w:val="20"/>
          <w:szCs w:val="20"/>
        </w:rPr>
        <w:br/>
        <w:t>HCI 52: Normative management rate of blood pressure control (%)</w:t>
      </w:r>
    </w:p>
    <w:p w14:paraId="26F6538A" w14:textId="232A18C6"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number of hypertension patients who manage </w:t>
      </w:r>
      <w:r w:rsidR="009A3278">
        <w:rPr>
          <w:rFonts w:ascii="Arial" w:hAnsi="Arial" w:cs="Arial"/>
          <w:sz w:val="20"/>
          <w:szCs w:val="20"/>
        </w:rPr>
        <w:t xml:space="preserve">their </w:t>
      </w:r>
      <w:r w:rsidRPr="00A72B35">
        <w:rPr>
          <w:rFonts w:ascii="Arial" w:hAnsi="Arial" w:cs="Arial"/>
          <w:sz w:val="20"/>
          <w:szCs w:val="20"/>
        </w:rPr>
        <w:t>blood pressure according to the norm account</w:t>
      </w:r>
      <w:r w:rsidR="009A3278">
        <w:rPr>
          <w:rFonts w:ascii="Arial" w:hAnsi="Arial" w:cs="Arial"/>
          <w:sz w:val="20"/>
          <w:szCs w:val="20"/>
        </w:rPr>
        <w:t>ing for the</w:t>
      </w:r>
      <w:r w:rsidRPr="00A72B35">
        <w:rPr>
          <w:rFonts w:ascii="Arial" w:hAnsi="Arial" w:cs="Arial"/>
          <w:sz w:val="20"/>
          <w:szCs w:val="20"/>
        </w:rPr>
        <w:t xml:space="preserve"> percentage of number of patients with hypertension who managed during the year. </w:t>
      </w:r>
    </w:p>
    <w:p w14:paraId="52EFAD2C" w14:textId="77777777" w:rsidR="00551F05" w:rsidRPr="00A72B35" w:rsidRDefault="00551F05" w:rsidP="00861B37">
      <w:pPr>
        <w:spacing w:line="480" w:lineRule="auto"/>
        <w:ind w:firstLineChars="200" w:firstLine="400"/>
        <w:rPr>
          <w:rFonts w:ascii="Arial" w:hAnsi="Arial" w:cs="Arial"/>
          <w:sz w:val="20"/>
          <w:szCs w:val="20"/>
        </w:rPr>
      </w:pPr>
      <w:r w:rsidRPr="00A72B35">
        <w:rPr>
          <w:rFonts w:ascii="Arial" w:hAnsi="Arial" w:cs="Arial"/>
          <w:sz w:val="20"/>
          <w:szCs w:val="20"/>
        </w:rPr>
        <w:t>The target population is hypertension patients aged 35 years and over in this jurisdiction.</w:t>
      </w:r>
    </w:p>
    <w:p w14:paraId="4FD35B3B" w14:textId="21051813"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53: </w:t>
      </w:r>
      <w:r w:rsidRPr="00A72B35">
        <w:rPr>
          <w:rFonts w:ascii="Arial" w:hAnsi="Arial" w:cs="Arial"/>
          <w:b/>
          <w:bCs/>
          <w:sz w:val="20"/>
          <w:szCs w:val="20"/>
        </w:rPr>
        <w:t>Management rate of HIV</w:t>
      </w:r>
      <w:r w:rsidR="009A3278">
        <w:rPr>
          <w:rFonts w:ascii="Arial" w:hAnsi="Arial" w:cs="Arial"/>
          <w:b/>
          <w:bCs/>
          <w:sz w:val="20"/>
          <w:szCs w:val="20"/>
        </w:rPr>
        <w:t>-</w:t>
      </w:r>
      <w:r w:rsidRPr="00A72B35">
        <w:rPr>
          <w:rFonts w:ascii="Arial" w:hAnsi="Arial" w:cs="Arial"/>
          <w:b/>
          <w:bCs/>
          <w:sz w:val="20"/>
          <w:szCs w:val="20"/>
        </w:rPr>
        <w:t>infected individuals /AIDS patients</w:t>
      </w:r>
      <w:r w:rsidRPr="00A72B35">
        <w:rPr>
          <w:rFonts w:ascii="Arial" w:hAnsi="Arial" w:cs="Arial"/>
          <w:b/>
          <w:sz w:val="20"/>
          <w:szCs w:val="20"/>
        </w:rPr>
        <w:t xml:space="preserve"> (%)</w:t>
      </w:r>
    </w:p>
    <w:p w14:paraId="7A5FD600" w14:textId="375BF879"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 xml:space="preserve">Definition: Taking the current address as the statistical caliber, </w:t>
      </w:r>
      <w:r w:rsidR="009A3278">
        <w:rPr>
          <w:rFonts w:ascii="Arial" w:hAnsi="Arial" w:cs="Arial"/>
          <w:sz w:val="20"/>
          <w:szCs w:val="20"/>
        </w:rPr>
        <w:t xml:space="preserve">this indicator refers to </w:t>
      </w:r>
      <w:r w:rsidRPr="00A72B35">
        <w:rPr>
          <w:rFonts w:ascii="Arial" w:hAnsi="Arial" w:cs="Arial"/>
          <w:sz w:val="20"/>
          <w:szCs w:val="20"/>
        </w:rPr>
        <w:t>the proportion of infected individuals or patients who can be followed up. “Follow-up management” refers to a physical examination or at least one physical examination (CD4) test or an antiviral treatment in a year.</w:t>
      </w:r>
      <w:r w:rsidRPr="00A72B35">
        <w:rPr>
          <w:rFonts w:ascii="Arial" w:hAnsi="Arial" w:cs="Arial"/>
          <w:b/>
          <w:sz w:val="20"/>
          <w:szCs w:val="20"/>
        </w:rPr>
        <w:br/>
        <w:t>HCI 54: On-site standard disposal rate for sudden acute infectious diseases (%)</w:t>
      </w:r>
    </w:p>
    <w:p w14:paraId="49A1A999" w14:textId="5B794550"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lastRenderedPageBreak/>
        <w:t>Definition: Proportion of normatively dispose</w:t>
      </w:r>
      <w:r w:rsidR="009A3278">
        <w:rPr>
          <w:rFonts w:ascii="Arial" w:hAnsi="Arial" w:cs="Arial"/>
          <w:bCs/>
          <w:sz w:val="20"/>
          <w:szCs w:val="20"/>
        </w:rPr>
        <w:t>d</w:t>
      </w:r>
      <w:r w:rsidRPr="00A72B35">
        <w:rPr>
          <w:rFonts w:ascii="Arial" w:hAnsi="Arial" w:cs="Arial"/>
          <w:bCs/>
          <w:sz w:val="20"/>
          <w:szCs w:val="20"/>
        </w:rPr>
        <w:t xml:space="preserve"> sudden acute infectious diseases.</w:t>
      </w:r>
      <w:r w:rsidRPr="00A72B35">
        <w:rPr>
          <w:rFonts w:ascii="Arial" w:hAnsi="Arial" w:cs="Arial"/>
          <w:b/>
          <w:sz w:val="20"/>
          <w:szCs w:val="20"/>
        </w:rPr>
        <w:t xml:space="preserve"> </w:t>
      </w:r>
      <w:r w:rsidRPr="00A72B35">
        <w:rPr>
          <w:rFonts w:ascii="Arial" w:hAnsi="Arial" w:cs="Arial"/>
          <w:b/>
          <w:sz w:val="20"/>
          <w:szCs w:val="20"/>
        </w:rPr>
        <w:br/>
        <w:t>HCI 55: Normative management rate of tuberculosis patients (%)</w:t>
      </w:r>
    </w:p>
    <w:p w14:paraId="59F42620" w14:textId="5664FD4B"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Definition: The number of patients with standardized management of tuberculosis </w:t>
      </w:r>
      <w:r w:rsidR="009A3278" w:rsidRPr="00A72B35">
        <w:rPr>
          <w:rFonts w:ascii="Arial" w:hAnsi="Arial" w:cs="Arial"/>
          <w:bCs/>
          <w:sz w:val="20"/>
          <w:szCs w:val="20"/>
        </w:rPr>
        <w:t>account</w:t>
      </w:r>
      <w:r w:rsidR="009A3278">
        <w:rPr>
          <w:rFonts w:ascii="Arial" w:hAnsi="Arial" w:cs="Arial"/>
          <w:bCs/>
          <w:sz w:val="20"/>
          <w:szCs w:val="20"/>
        </w:rPr>
        <w:t>ing</w:t>
      </w:r>
      <w:r w:rsidR="009A3278" w:rsidRPr="00A72B35">
        <w:rPr>
          <w:rFonts w:ascii="Arial" w:hAnsi="Arial" w:cs="Arial"/>
          <w:bCs/>
          <w:sz w:val="20"/>
          <w:szCs w:val="20"/>
        </w:rPr>
        <w:t xml:space="preserve"> </w:t>
      </w:r>
      <w:r w:rsidRPr="00A72B35">
        <w:rPr>
          <w:rFonts w:ascii="Arial" w:hAnsi="Arial" w:cs="Arial"/>
          <w:bCs/>
          <w:sz w:val="20"/>
          <w:szCs w:val="20"/>
        </w:rPr>
        <w:t>for the percentage of tuberculosis patients diagnosed by the superior medical institutions in the same period and notified to the primary health institutions.</w:t>
      </w:r>
    </w:p>
    <w:p w14:paraId="066787C6"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56: </w:t>
      </w:r>
      <w:r w:rsidRPr="00A72B35">
        <w:rPr>
          <w:rFonts w:ascii="Arial" w:hAnsi="Arial" w:cs="Arial"/>
          <w:b/>
          <w:bCs/>
          <w:sz w:val="20"/>
          <w:szCs w:val="20"/>
        </w:rPr>
        <w:t xml:space="preserve">Inoculation rate of immunization planning target population </w:t>
      </w:r>
      <w:r w:rsidRPr="00A72B35">
        <w:rPr>
          <w:rFonts w:ascii="Arial" w:hAnsi="Arial" w:cs="Arial"/>
          <w:b/>
          <w:sz w:val="20"/>
          <w:szCs w:val="20"/>
        </w:rPr>
        <w:t>(%)</w:t>
      </w:r>
    </w:p>
    <w:p w14:paraId="4CD06ADB" w14:textId="2E25B3F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Definition: </w:t>
      </w:r>
      <w:r w:rsidR="009A3278">
        <w:rPr>
          <w:rFonts w:ascii="Arial" w:hAnsi="Arial" w:cs="Arial"/>
          <w:bCs/>
          <w:sz w:val="20"/>
          <w:szCs w:val="20"/>
        </w:rPr>
        <w:t>T</w:t>
      </w:r>
      <w:r w:rsidRPr="00A72B35">
        <w:rPr>
          <w:rFonts w:ascii="Arial" w:hAnsi="Arial" w:cs="Arial"/>
          <w:bCs/>
          <w:sz w:val="20"/>
          <w:szCs w:val="20"/>
        </w:rPr>
        <w:t>he proportion of inoculated target people</w:t>
      </w:r>
      <w:r w:rsidR="009A3278" w:rsidRPr="009A3278">
        <w:rPr>
          <w:rFonts w:ascii="Arial" w:hAnsi="Arial" w:cs="Arial"/>
          <w:bCs/>
          <w:sz w:val="20"/>
          <w:szCs w:val="20"/>
        </w:rPr>
        <w:t xml:space="preserve"> </w:t>
      </w:r>
      <w:r w:rsidR="009A3278">
        <w:rPr>
          <w:rFonts w:ascii="Arial" w:hAnsi="Arial" w:cs="Arial"/>
          <w:bCs/>
          <w:sz w:val="20"/>
          <w:szCs w:val="20"/>
        </w:rPr>
        <w:t>a</w:t>
      </w:r>
      <w:r w:rsidR="009A3278" w:rsidRPr="00A72B35">
        <w:rPr>
          <w:rFonts w:ascii="Arial" w:hAnsi="Arial" w:cs="Arial"/>
          <w:bCs/>
          <w:sz w:val="20"/>
          <w:szCs w:val="20"/>
        </w:rPr>
        <w:t>ccording to immunization planning</w:t>
      </w:r>
      <w:r w:rsidRPr="00A72B35">
        <w:rPr>
          <w:rFonts w:ascii="Arial" w:hAnsi="Arial" w:cs="Arial"/>
          <w:bCs/>
          <w:sz w:val="20"/>
          <w:szCs w:val="20"/>
        </w:rPr>
        <w:t>.</w:t>
      </w:r>
    </w:p>
    <w:p w14:paraId="72A028AD" w14:textId="7775E205" w:rsidR="00551F05" w:rsidRPr="00A72B35" w:rsidRDefault="009A3278" w:rsidP="00861B37">
      <w:pPr>
        <w:spacing w:line="480" w:lineRule="auto"/>
        <w:ind w:firstLineChars="200" w:firstLine="400"/>
        <w:rPr>
          <w:rFonts w:ascii="Arial" w:hAnsi="Arial" w:cs="Arial"/>
          <w:bCs/>
          <w:sz w:val="20"/>
          <w:szCs w:val="20"/>
        </w:rPr>
      </w:pPr>
      <w:r>
        <w:rPr>
          <w:rFonts w:ascii="Arial" w:hAnsi="Arial" w:cs="Arial"/>
          <w:bCs/>
          <w:sz w:val="20"/>
          <w:szCs w:val="20"/>
        </w:rPr>
        <w:t>“</w:t>
      </w:r>
      <w:r w:rsidR="00551F05" w:rsidRPr="00A72B35">
        <w:rPr>
          <w:rFonts w:ascii="Arial" w:hAnsi="Arial" w:cs="Arial"/>
          <w:bCs/>
          <w:sz w:val="20"/>
          <w:szCs w:val="20"/>
        </w:rPr>
        <w:t>Immunization planning</w:t>
      </w:r>
      <w:r>
        <w:rPr>
          <w:rFonts w:ascii="Arial" w:hAnsi="Arial" w:cs="Arial"/>
          <w:bCs/>
          <w:sz w:val="20"/>
          <w:szCs w:val="20"/>
        </w:rPr>
        <w:t>”</w:t>
      </w:r>
      <w:r w:rsidR="00551F05" w:rsidRPr="00A72B35">
        <w:rPr>
          <w:rFonts w:ascii="Arial" w:hAnsi="Arial" w:cs="Arial"/>
          <w:bCs/>
          <w:sz w:val="20"/>
          <w:szCs w:val="20"/>
        </w:rPr>
        <w:t xml:space="preserve"> refers to the planning and strategies formulated for the prevention of vaccination of susceptible populations using effective vaccines in accordance with national infectious disease prevention and control plans.</w:t>
      </w:r>
    </w:p>
    <w:p w14:paraId="05455BE1" w14:textId="77777777" w:rsidR="00551F05" w:rsidRPr="00A72B35" w:rsidRDefault="00551F05" w:rsidP="00861B37">
      <w:pPr>
        <w:spacing w:line="480" w:lineRule="auto"/>
        <w:rPr>
          <w:rFonts w:ascii="Arial" w:hAnsi="Arial" w:cs="Arial"/>
          <w:bCs/>
          <w:sz w:val="20"/>
          <w:szCs w:val="20"/>
        </w:rPr>
      </w:pPr>
      <w:r w:rsidRPr="00A72B35">
        <w:rPr>
          <w:rFonts w:ascii="Arial" w:hAnsi="Arial" w:cs="Arial"/>
          <w:b/>
          <w:sz w:val="20"/>
          <w:szCs w:val="20"/>
        </w:rPr>
        <w:t>HCI 57: Normative management rate of patients with severe mental disorders (%)</w:t>
      </w:r>
    </w:p>
    <w:p w14:paraId="4740316B" w14:textId="68B8BD39" w:rsidR="00CF29A3"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number of patients diagnosed with severe mental disorders who </w:t>
      </w:r>
      <w:r w:rsidR="009A3278">
        <w:rPr>
          <w:rFonts w:ascii="Arial" w:hAnsi="Arial" w:cs="Arial"/>
          <w:sz w:val="20"/>
          <w:szCs w:val="20"/>
        </w:rPr>
        <w:t>have been</w:t>
      </w:r>
      <w:r w:rsidR="009A3278" w:rsidRPr="00A72B35">
        <w:rPr>
          <w:rFonts w:ascii="Arial" w:hAnsi="Arial" w:cs="Arial"/>
          <w:sz w:val="20"/>
          <w:szCs w:val="20"/>
        </w:rPr>
        <w:t xml:space="preserve"> </w:t>
      </w:r>
      <w:r w:rsidRPr="00A72B35">
        <w:rPr>
          <w:rFonts w:ascii="Arial" w:hAnsi="Arial" w:cs="Arial"/>
          <w:sz w:val="20"/>
          <w:szCs w:val="20"/>
        </w:rPr>
        <w:t>managed annually according to regulatory requirements account</w:t>
      </w:r>
      <w:r w:rsidR="009A3278">
        <w:rPr>
          <w:rFonts w:ascii="Arial" w:hAnsi="Arial" w:cs="Arial"/>
          <w:sz w:val="20"/>
          <w:szCs w:val="20"/>
        </w:rPr>
        <w:t>ing</w:t>
      </w:r>
      <w:r w:rsidRPr="00A72B35">
        <w:rPr>
          <w:rFonts w:ascii="Arial" w:hAnsi="Arial" w:cs="Arial"/>
          <w:sz w:val="20"/>
          <w:szCs w:val="20"/>
        </w:rPr>
        <w:t xml:space="preserve"> for the proportion of all registered patients with severe mental disorders.</w:t>
      </w:r>
    </w:p>
    <w:p w14:paraId="50E270EC" w14:textId="12401B90" w:rsidR="00551F05" w:rsidRPr="00A72B35" w:rsidRDefault="009A3278" w:rsidP="00F96113">
      <w:pPr>
        <w:spacing w:line="480" w:lineRule="auto"/>
        <w:ind w:firstLineChars="200" w:firstLine="400"/>
        <w:rPr>
          <w:rFonts w:ascii="Arial" w:hAnsi="Arial" w:cs="Arial"/>
          <w:b/>
          <w:sz w:val="20"/>
          <w:szCs w:val="20"/>
        </w:rPr>
      </w:pPr>
      <w:r>
        <w:rPr>
          <w:rFonts w:ascii="Arial" w:hAnsi="Arial" w:cs="Arial"/>
          <w:sz w:val="20"/>
          <w:szCs w:val="20"/>
        </w:rPr>
        <w:t>“</w:t>
      </w:r>
      <w:r w:rsidR="00551F05" w:rsidRPr="00A72B35">
        <w:rPr>
          <w:rFonts w:ascii="Arial" w:hAnsi="Arial" w:cs="Arial"/>
          <w:sz w:val="20"/>
          <w:szCs w:val="20"/>
        </w:rPr>
        <w:t>Severe mental disorder</w:t>
      </w:r>
      <w:r>
        <w:rPr>
          <w:rFonts w:ascii="Arial" w:hAnsi="Arial" w:cs="Arial"/>
          <w:sz w:val="20"/>
          <w:szCs w:val="20"/>
        </w:rPr>
        <w:t>”</w:t>
      </w:r>
      <w:r w:rsidR="00551F05" w:rsidRPr="00A72B35">
        <w:rPr>
          <w:rFonts w:ascii="Arial" w:hAnsi="Arial" w:cs="Arial"/>
          <w:sz w:val="20"/>
          <w:szCs w:val="20"/>
        </w:rPr>
        <w:t xml:space="preserve"> refers to a group of mental illnesses with clinical manifestations of psychotic symptoms</w:t>
      </w:r>
      <w:r w:rsidR="00CF29A3">
        <w:rPr>
          <w:rFonts w:ascii="Arial" w:hAnsi="Arial" w:cs="Arial"/>
          <w:sz w:val="20"/>
          <w:szCs w:val="20"/>
        </w:rPr>
        <w:t>,</w:t>
      </w:r>
      <w:r w:rsidR="00551F05" w:rsidRPr="00A72B35">
        <w:rPr>
          <w:rFonts w:ascii="Arial" w:hAnsi="Arial" w:cs="Arial"/>
          <w:sz w:val="20"/>
          <w:szCs w:val="20"/>
        </w:rPr>
        <w:t xml:space="preserve"> such as hallucinations, delusions, serious thinking disorders, behavioral disorders, and severely impaired social life.</w:t>
      </w:r>
    </w:p>
    <w:p w14:paraId="1A12F1B1"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58: Life expectancy </w:t>
      </w:r>
    </w:p>
    <w:p w14:paraId="63CED29D" w14:textId="5ABAB190"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 xml:space="preserve">Definition: The mean number of years expected to survive for </w:t>
      </w:r>
      <w:r w:rsidR="00CF29A3">
        <w:rPr>
          <w:rFonts w:ascii="Arial" w:hAnsi="Arial" w:cs="Arial"/>
          <w:bCs/>
          <w:sz w:val="20"/>
          <w:szCs w:val="20"/>
        </w:rPr>
        <w:t xml:space="preserve">the </w:t>
      </w:r>
      <w:r w:rsidRPr="00A72B35">
        <w:rPr>
          <w:rFonts w:ascii="Arial" w:hAnsi="Arial" w:cs="Arial"/>
          <w:bCs/>
          <w:sz w:val="20"/>
          <w:szCs w:val="20"/>
        </w:rPr>
        <w:t xml:space="preserve">registered population 0-year-old. </w:t>
      </w:r>
    </w:p>
    <w:p w14:paraId="1072BD89"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59: </w:t>
      </w:r>
      <w:r w:rsidRPr="00A72B35">
        <w:rPr>
          <w:rFonts w:ascii="Arial" w:hAnsi="Arial" w:cs="Arial"/>
          <w:b/>
          <w:bCs/>
          <w:sz w:val="20"/>
          <w:szCs w:val="20"/>
        </w:rPr>
        <w:t>Mortality of pregnant woman and parturient (1/100,000)</w:t>
      </w:r>
    </w:p>
    <w:p w14:paraId="1CDDE4D9" w14:textId="33ABF305"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 xml:space="preserve">Definition: Pregnant and parturient </w:t>
      </w:r>
      <w:r w:rsidR="00CF29A3" w:rsidRPr="00A72B35">
        <w:rPr>
          <w:rFonts w:ascii="Arial" w:hAnsi="Arial" w:cs="Arial"/>
          <w:sz w:val="20"/>
          <w:szCs w:val="20"/>
        </w:rPr>
        <w:t>wom</w:t>
      </w:r>
      <w:r w:rsidR="00CF29A3">
        <w:rPr>
          <w:rFonts w:ascii="Arial" w:hAnsi="Arial" w:cs="Arial"/>
          <w:sz w:val="20"/>
          <w:szCs w:val="20"/>
        </w:rPr>
        <w:t>e</w:t>
      </w:r>
      <w:r w:rsidR="00CF29A3" w:rsidRPr="00A72B35">
        <w:rPr>
          <w:rFonts w:ascii="Arial" w:hAnsi="Arial" w:cs="Arial"/>
          <w:sz w:val="20"/>
          <w:szCs w:val="20"/>
        </w:rPr>
        <w:t xml:space="preserve">n </w:t>
      </w:r>
      <w:r w:rsidRPr="00A72B35">
        <w:rPr>
          <w:rFonts w:ascii="Arial" w:hAnsi="Arial" w:cs="Arial"/>
          <w:sz w:val="20"/>
          <w:szCs w:val="20"/>
        </w:rPr>
        <w:t>who died of various causes from the beginning of pregnancy to 42 days after birth accounting for the proportion of live births per 100,000 births during the same period.</w:t>
      </w:r>
      <w:r w:rsidRPr="00A72B35">
        <w:rPr>
          <w:rFonts w:ascii="Arial" w:hAnsi="Arial" w:cs="Arial"/>
          <w:b/>
          <w:sz w:val="20"/>
          <w:szCs w:val="20"/>
        </w:rPr>
        <w:br/>
        <w:t>HCI 60: Infant mortality (‰)</w:t>
      </w:r>
    </w:p>
    <w:p w14:paraId="07A11587" w14:textId="4618747C"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ratio of the number of deaths of a child who is under </w:t>
      </w:r>
      <w:r w:rsidR="00CF29A3">
        <w:rPr>
          <w:rFonts w:ascii="Arial" w:hAnsi="Arial" w:cs="Arial"/>
          <w:sz w:val="20"/>
          <w:szCs w:val="20"/>
        </w:rPr>
        <w:t>1</w:t>
      </w:r>
      <w:r w:rsidR="00CF29A3" w:rsidRPr="00A72B35">
        <w:rPr>
          <w:rFonts w:ascii="Arial" w:hAnsi="Arial" w:cs="Arial"/>
          <w:sz w:val="20"/>
          <w:szCs w:val="20"/>
        </w:rPr>
        <w:t xml:space="preserve"> </w:t>
      </w:r>
      <w:r w:rsidRPr="00A72B35">
        <w:rPr>
          <w:rFonts w:ascii="Arial" w:hAnsi="Arial" w:cs="Arial"/>
          <w:sz w:val="20"/>
          <w:szCs w:val="20"/>
        </w:rPr>
        <w:t>year of age to the total number of live births during the same period</w:t>
      </w:r>
      <w:r w:rsidR="00CF29A3">
        <w:rPr>
          <w:rFonts w:ascii="Arial" w:hAnsi="Arial" w:cs="Arial"/>
          <w:sz w:val="20"/>
          <w:szCs w:val="20"/>
        </w:rPr>
        <w:t>;</w:t>
      </w:r>
      <w:r w:rsidRPr="00A72B35">
        <w:rPr>
          <w:rFonts w:ascii="Arial" w:hAnsi="Arial" w:cs="Arial"/>
          <w:sz w:val="20"/>
          <w:szCs w:val="20"/>
        </w:rPr>
        <w:t xml:space="preserve"> the value is expressed per 1,000 live births.</w:t>
      </w:r>
    </w:p>
    <w:p w14:paraId="49C39477"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61: Mortality of children under 5 years old (‰)</w:t>
      </w:r>
    </w:p>
    <w:p w14:paraId="6F236A73" w14:textId="3339A625"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The probability that a child born in a given year will die before the age of 5</w:t>
      </w:r>
      <w:r w:rsidR="00CF29A3">
        <w:rPr>
          <w:rFonts w:ascii="Arial" w:hAnsi="Arial" w:cs="Arial"/>
          <w:sz w:val="20"/>
          <w:szCs w:val="20"/>
        </w:rPr>
        <w:t xml:space="preserve"> years</w:t>
      </w:r>
      <w:r w:rsidRPr="00A72B35">
        <w:rPr>
          <w:rFonts w:ascii="Arial" w:hAnsi="Arial" w:cs="Arial"/>
          <w:sz w:val="20"/>
          <w:szCs w:val="20"/>
        </w:rPr>
        <w:t xml:space="preserve">, </w:t>
      </w:r>
      <w:r w:rsidRPr="00A72B35">
        <w:rPr>
          <w:rFonts w:ascii="Arial" w:hAnsi="Arial" w:cs="Arial"/>
          <w:sz w:val="20"/>
          <w:szCs w:val="20"/>
        </w:rPr>
        <w:lastRenderedPageBreak/>
        <w:t>expressed per 1,000 live births.</w:t>
      </w:r>
      <w:r w:rsidRPr="00A72B35">
        <w:rPr>
          <w:rFonts w:ascii="Arial" w:hAnsi="Arial" w:cs="Arial"/>
          <w:b/>
          <w:sz w:val="20"/>
          <w:szCs w:val="20"/>
        </w:rPr>
        <w:br/>
        <w:t xml:space="preserve">HCI 62: </w:t>
      </w:r>
      <w:r w:rsidRPr="00A72B35">
        <w:rPr>
          <w:rFonts w:ascii="Arial" w:hAnsi="Arial" w:cs="Arial"/>
          <w:b/>
          <w:bCs/>
          <w:sz w:val="20"/>
          <w:szCs w:val="20"/>
        </w:rPr>
        <w:t>Incidence of birth defect (%)</w:t>
      </w:r>
    </w:p>
    <w:p w14:paraId="3CB7BA15" w14:textId="77777777" w:rsidR="00551F05" w:rsidRPr="00A72B35" w:rsidRDefault="00551F05" w:rsidP="00861B37">
      <w:pPr>
        <w:spacing w:line="480" w:lineRule="auto"/>
        <w:rPr>
          <w:rFonts w:ascii="Arial" w:hAnsi="Arial" w:cs="Arial"/>
          <w:bCs/>
          <w:sz w:val="20"/>
          <w:szCs w:val="20"/>
        </w:rPr>
      </w:pPr>
      <w:r w:rsidRPr="00A72B35">
        <w:rPr>
          <w:rFonts w:ascii="Arial" w:hAnsi="Arial" w:cs="Arial"/>
          <w:bCs/>
          <w:sz w:val="20"/>
          <w:szCs w:val="20"/>
        </w:rPr>
        <w:t>Definition: The ratio of the number of birth defects to the total number of births in the current year, expressed as a percentage.</w:t>
      </w:r>
    </w:p>
    <w:p w14:paraId="6F6A9EA7" w14:textId="45A79EE6"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63: Low birth weight rate (%)</w:t>
      </w:r>
    </w:p>
    <w:p w14:paraId="68556381" w14:textId="4A87C601" w:rsidR="00551F05" w:rsidRPr="00A72B35" w:rsidRDefault="00551F05" w:rsidP="00861B37">
      <w:pPr>
        <w:spacing w:line="480" w:lineRule="auto"/>
        <w:rPr>
          <w:rFonts w:ascii="Arial" w:hAnsi="Arial" w:cs="Arial"/>
          <w:b/>
          <w:sz w:val="20"/>
          <w:szCs w:val="20"/>
        </w:rPr>
      </w:pPr>
      <w:r w:rsidRPr="00A72B35">
        <w:rPr>
          <w:rFonts w:ascii="Arial" w:hAnsi="Arial" w:cs="Arial"/>
          <w:bCs/>
          <w:sz w:val="20"/>
          <w:szCs w:val="20"/>
        </w:rPr>
        <w:t>Definition: Number of live births weighing less than 2,500</w:t>
      </w:r>
      <w:r w:rsidR="00CF29A3">
        <w:rPr>
          <w:rFonts w:ascii="Arial" w:hAnsi="Arial" w:cs="Arial"/>
          <w:bCs/>
          <w:sz w:val="20"/>
          <w:szCs w:val="20"/>
        </w:rPr>
        <w:t xml:space="preserve"> </w:t>
      </w:r>
      <w:r w:rsidRPr="00A72B35">
        <w:rPr>
          <w:rFonts w:ascii="Arial" w:hAnsi="Arial" w:cs="Arial"/>
          <w:bCs/>
          <w:sz w:val="20"/>
          <w:szCs w:val="20"/>
        </w:rPr>
        <w:t xml:space="preserve">g as a percentage of </w:t>
      </w:r>
      <w:r w:rsidR="00CF29A3">
        <w:rPr>
          <w:rFonts w:ascii="Arial" w:hAnsi="Arial" w:cs="Arial"/>
          <w:bCs/>
          <w:sz w:val="20"/>
          <w:szCs w:val="20"/>
        </w:rPr>
        <w:t xml:space="preserve">the </w:t>
      </w:r>
      <w:r w:rsidRPr="00A72B35">
        <w:rPr>
          <w:rFonts w:ascii="Arial" w:hAnsi="Arial" w:cs="Arial"/>
          <w:bCs/>
          <w:sz w:val="20"/>
          <w:szCs w:val="20"/>
        </w:rPr>
        <w:t>total number of live births in this jurisdiction.</w:t>
      </w:r>
      <w:r w:rsidRPr="00A72B35">
        <w:rPr>
          <w:rFonts w:ascii="Arial" w:hAnsi="Arial" w:cs="Arial"/>
          <w:bCs/>
          <w:sz w:val="20"/>
          <w:szCs w:val="20"/>
        </w:rPr>
        <w:br/>
      </w:r>
      <w:r w:rsidRPr="00A72B35">
        <w:rPr>
          <w:rFonts w:ascii="Arial" w:hAnsi="Arial" w:cs="Arial"/>
          <w:b/>
          <w:sz w:val="20"/>
          <w:szCs w:val="20"/>
        </w:rPr>
        <w:t xml:space="preserve">HCI 64: </w:t>
      </w:r>
      <w:r w:rsidR="00CF29A3">
        <w:rPr>
          <w:rFonts w:ascii="Arial" w:hAnsi="Arial" w:cs="Arial"/>
          <w:b/>
          <w:sz w:val="20"/>
          <w:szCs w:val="20"/>
        </w:rPr>
        <w:t>R</w:t>
      </w:r>
      <w:r w:rsidRPr="00A72B35">
        <w:rPr>
          <w:rFonts w:ascii="Arial" w:hAnsi="Arial" w:cs="Arial"/>
          <w:b/>
          <w:bCs/>
          <w:sz w:val="20"/>
          <w:szCs w:val="20"/>
        </w:rPr>
        <w:t>eported incidence of notifiable infectious diseases (1/100,000)</w:t>
      </w:r>
    </w:p>
    <w:p w14:paraId="2ED72900" w14:textId="397AD01D"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w:t>
      </w:r>
      <w:r w:rsidR="00CF29A3">
        <w:rPr>
          <w:rFonts w:ascii="Arial" w:hAnsi="Arial" w:cs="Arial"/>
          <w:sz w:val="20"/>
          <w:szCs w:val="20"/>
        </w:rPr>
        <w:t>T</w:t>
      </w:r>
      <w:r w:rsidRPr="00A72B35">
        <w:rPr>
          <w:rFonts w:ascii="Arial" w:hAnsi="Arial" w:cs="Arial"/>
          <w:sz w:val="20"/>
          <w:szCs w:val="20"/>
        </w:rPr>
        <w:t xml:space="preserve">he proportion of notifiable infectious diseases in a </w:t>
      </w:r>
      <w:r w:rsidR="00CF29A3">
        <w:rPr>
          <w:rFonts w:ascii="Arial" w:hAnsi="Arial" w:cs="Arial"/>
          <w:sz w:val="20"/>
          <w:szCs w:val="20"/>
        </w:rPr>
        <w:t xml:space="preserve">given area within a </w:t>
      </w:r>
      <w:r w:rsidRPr="00A72B35">
        <w:rPr>
          <w:rFonts w:ascii="Arial" w:hAnsi="Arial" w:cs="Arial"/>
          <w:sz w:val="20"/>
          <w:szCs w:val="20"/>
        </w:rPr>
        <w:t xml:space="preserve">certain year </w:t>
      </w:r>
      <w:r w:rsidR="00CF29A3">
        <w:rPr>
          <w:rFonts w:ascii="Arial" w:hAnsi="Arial" w:cs="Arial"/>
          <w:sz w:val="20"/>
          <w:szCs w:val="20"/>
        </w:rPr>
        <w:t xml:space="preserve">per </w:t>
      </w:r>
      <w:r w:rsidRPr="00A72B35">
        <w:rPr>
          <w:rFonts w:ascii="Arial" w:hAnsi="Arial" w:cs="Arial"/>
          <w:sz w:val="20"/>
          <w:szCs w:val="20"/>
        </w:rPr>
        <w:t xml:space="preserve">100,000 people. </w:t>
      </w:r>
    </w:p>
    <w:p w14:paraId="0F4CB660" w14:textId="34772E76" w:rsidR="00551F05" w:rsidRPr="00A72B35" w:rsidRDefault="00551F05" w:rsidP="00861B37">
      <w:pPr>
        <w:spacing w:line="480" w:lineRule="auto"/>
        <w:ind w:firstLineChars="200" w:firstLine="400"/>
        <w:rPr>
          <w:rFonts w:ascii="Arial" w:hAnsi="Arial" w:cs="Arial"/>
          <w:b/>
          <w:sz w:val="20"/>
          <w:szCs w:val="20"/>
        </w:rPr>
      </w:pPr>
      <w:r w:rsidRPr="00A72B35">
        <w:rPr>
          <w:rFonts w:ascii="Arial" w:hAnsi="Arial" w:cs="Arial"/>
          <w:sz w:val="20"/>
          <w:szCs w:val="20"/>
        </w:rPr>
        <w:t xml:space="preserve">The </w:t>
      </w:r>
      <w:r w:rsidR="00CF29A3">
        <w:rPr>
          <w:rFonts w:ascii="Arial" w:hAnsi="Arial" w:cs="Arial"/>
          <w:sz w:val="20"/>
          <w:szCs w:val="20"/>
        </w:rPr>
        <w:t>“</w:t>
      </w:r>
      <w:r w:rsidRPr="00A72B35">
        <w:rPr>
          <w:rFonts w:ascii="Arial" w:hAnsi="Arial" w:cs="Arial"/>
          <w:sz w:val="20"/>
          <w:szCs w:val="20"/>
        </w:rPr>
        <w:t>Infectious Diseases Prevention and Control Law of the People's Republic of China</w:t>
      </w:r>
      <w:r w:rsidR="00CF29A3">
        <w:rPr>
          <w:rFonts w:ascii="Arial" w:hAnsi="Arial" w:cs="Arial"/>
          <w:sz w:val="20"/>
          <w:szCs w:val="20"/>
        </w:rPr>
        <w:t>”</w:t>
      </w:r>
      <w:r w:rsidRPr="00A72B35">
        <w:rPr>
          <w:rFonts w:ascii="Arial" w:hAnsi="Arial" w:cs="Arial"/>
          <w:sz w:val="20"/>
          <w:szCs w:val="20"/>
        </w:rPr>
        <w:t xml:space="preserve"> stipulates that the infectious diseases are classified into three categories: Class</w:t>
      </w:r>
      <w:r w:rsidR="00CF29A3">
        <w:rPr>
          <w:rFonts w:ascii="Arial" w:hAnsi="Arial" w:cs="Arial"/>
          <w:sz w:val="20"/>
          <w:szCs w:val="20"/>
        </w:rPr>
        <w:t>es</w:t>
      </w:r>
      <w:r w:rsidRPr="00A72B35">
        <w:rPr>
          <w:rFonts w:ascii="Arial" w:hAnsi="Arial" w:cs="Arial"/>
          <w:sz w:val="20"/>
          <w:szCs w:val="20"/>
        </w:rPr>
        <w:t xml:space="preserve"> A, B</w:t>
      </w:r>
      <w:r w:rsidR="00CF29A3">
        <w:rPr>
          <w:rFonts w:ascii="Arial" w:hAnsi="Arial" w:cs="Arial"/>
          <w:sz w:val="20"/>
          <w:szCs w:val="20"/>
        </w:rPr>
        <w:t xml:space="preserve">, </w:t>
      </w:r>
      <w:r w:rsidRPr="00A72B35">
        <w:rPr>
          <w:rFonts w:ascii="Arial" w:hAnsi="Arial" w:cs="Arial"/>
          <w:sz w:val="20"/>
          <w:szCs w:val="20"/>
        </w:rPr>
        <w:t>and C. At present, 39 legal infectious diseases</w:t>
      </w:r>
      <w:r w:rsidR="006211D9">
        <w:rPr>
          <w:rFonts w:ascii="Arial" w:hAnsi="Arial" w:cs="Arial"/>
          <w:sz w:val="20"/>
          <w:szCs w:val="20"/>
        </w:rPr>
        <w:t xml:space="preserve"> are recognized</w:t>
      </w:r>
      <w:r w:rsidRPr="00A72B35">
        <w:rPr>
          <w:rFonts w:ascii="Arial" w:hAnsi="Arial" w:cs="Arial"/>
          <w:sz w:val="20"/>
          <w:szCs w:val="20"/>
        </w:rPr>
        <w:t>, including 2 types of infectious diseases, 26 types of infectious diseases, and 11 types of infectious diseases.</w:t>
      </w:r>
      <w:r w:rsidRPr="00A72B35">
        <w:rPr>
          <w:rFonts w:ascii="Arial" w:hAnsi="Arial" w:cs="Arial"/>
          <w:sz w:val="20"/>
          <w:szCs w:val="20"/>
        </w:rPr>
        <w:br/>
      </w:r>
      <w:r w:rsidRPr="00A72B35">
        <w:rPr>
          <w:rFonts w:ascii="Arial" w:hAnsi="Arial" w:cs="Arial"/>
          <w:b/>
          <w:sz w:val="20"/>
          <w:szCs w:val="20"/>
        </w:rPr>
        <w:t>HCI 65: Incidence of tuberculosis (%)</w:t>
      </w:r>
    </w:p>
    <w:p w14:paraId="0CFD3E65" w14:textId="77777777" w:rsidR="00551F05" w:rsidRPr="00A72B35" w:rsidRDefault="00551F05" w:rsidP="00861B37">
      <w:pPr>
        <w:spacing w:line="480" w:lineRule="auto"/>
        <w:rPr>
          <w:rFonts w:ascii="Arial" w:hAnsi="Arial" w:cs="Arial"/>
          <w:b/>
          <w:bCs/>
          <w:sz w:val="20"/>
          <w:szCs w:val="20"/>
        </w:rPr>
      </w:pPr>
      <w:r w:rsidRPr="00A72B35">
        <w:rPr>
          <w:rFonts w:ascii="Arial" w:hAnsi="Arial" w:cs="Arial"/>
          <w:sz w:val="20"/>
          <w:szCs w:val="20"/>
        </w:rPr>
        <w:t xml:space="preserve">Definition: The number of new </w:t>
      </w:r>
      <w:r w:rsidRPr="00A72B35">
        <w:rPr>
          <w:rFonts w:ascii="Arial" w:hAnsi="Arial" w:cs="Arial"/>
          <w:bCs/>
          <w:sz w:val="20"/>
          <w:szCs w:val="20"/>
        </w:rPr>
        <w:t>tuberculosis</w:t>
      </w:r>
      <w:r w:rsidRPr="00A72B35">
        <w:rPr>
          <w:rFonts w:ascii="Arial" w:hAnsi="Arial" w:cs="Arial"/>
          <w:sz w:val="20"/>
          <w:szCs w:val="20"/>
        </w:rPr>
        <w:t xml:space="preserve"> patients as a percentage of the total number of people.</w:t>
      </w:r>
      <w:r w:rsidRPr="00A72B35">
        <w:rPr>
          <w:rFonts w:ascii="Arial" w:hAnsi="Arial" w:cs="Arial"/>
          <w:b/>
          <w:sz w:val="20"/>
          <w:szCs w:val="20"/>
        </w:rPr>
        <w:br/>
        <w:t xml:space="preserve">HCI 66: </w:t>
      </w:r>
      <w:r w:rsidRPr="00A72B35">
        <w:rPr>
          <w:rFonts w:ascii="Arial" w:hAnsi="Arial" w:cs="Arial"/>
          <w:b/>
          <w:bCs/>
          <w:sz w:val="20"/>
          <w:szCs w:val="20"/>
        </w:rPr>
        <w:t>Premature mortality of main noncommunicable diseases (%)</w:t>
      </w:r>
    </w:p>
    <w:p w14:paraId="6A4F6109" w14:textId="5B3E34D0"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probability of death in people aged 30</w:t>
      </w:r>
      <w:r w:rsidR="006211D9">
        <w:rPr>
          <w:rFonts w:ascii="Arial" w:hAnsi="Arial" w:cs="Arial"/>
          <w:sz w:val="20"/>
          <w:szCs w:val="20"/>
        </w:rPr>
        <w:t>–</w:t>
      </w:r>
      <w:r w:rsidRPr="00A72B35">
        <w:rPr>
          <w:rFonts w:ascii="Arial" w:hAnsi="Arial" w:cs="Arial"/>
          <w:sz w:val="20"/>
          <w:szCs w:val="20"/>
        </w:rPr>
        <w:t>70</w:t>
      </w:r>
      <w:r w:rsidR="006211D9">
        <w:rPr>
          <w:rFonts w:ascii="Arial" w:hAnsi="Arial" w:cs="Arial"/>
          <w:sz w:val="20"/>
          <w:szCs w:val="20"/>
        </w:rPr>
        <w:t xml:space="preserve"> years</w:t>
      </w:r>
      <w:r w:rsidRPr="00A72B35">
        <w:rPr>
          <w:rFonts w:ascii="Arial" w:hAnsi="Arial" w:cs="Arial"/>
          <w:sz w:val="20"/>
          <w:szCs w:val="20"/>
        </w:rPr>
        <w:t xml:space="preserve"> due to cardio-cerebral vascular diseases, cancer, chronic respiratory diseases and diabetes, </w:t>
      </w:r>
      <w:r w:rsidRPr="00A72B35">
        <w:rPr>
          <w:rFonts w:ascii="Arial" w:hAnsi="Arial" w:cs="Arial"/>
          <w:bCs/>
          <w:sz w:val="20"/>
          <w:szCs w:val="20"/>
        </w:rPr>
        <w:t>expressed as a percentage.</w:t>
      </w:r>
      <w:r w:rsidRPr="00A72B35">
        <w:rPr>
          <w:rFonts w:ascii="Arial" w:hAnsi="Arial" w:cs="Arial"/>
          <w:sz w:val="20"/>
          <w:szCs w:val="20"/>
        </w:rPr>
        <w:t xml:space="preserve"> </w:t>
      </w:r>
    </w:p>
    <w:p w14:paraId="024A86E4"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67: Prevalence of hypertension in adults (%)</w:t>
      </w:r>
    </w:p>
    <w:p w14:paraId="00258C88" w14:textId="77777777"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number of people with hypertension among the inhabitants over 18 years old accounted for the total number of people in this jurisdiction.</w:t>
      </w:r>
    </w:p>
    <w:p w14:paraId="3B8CFD9F"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 xml:space="preserve">HCI 68: Trends in the incidence of tumor </w:t>
      </w:r>
    </w:p>
    <w:p w14:paraId="2AEAA0C9" w14:textId="7C7D087E" w:rsidR="00551F05" w:rsidRPr="00A72B35" w:rsidRDefault="00551F05" w:rsidP="00861B37">
      <w:pPr>
        <w:spacing w:line="480" w:lineRule="auto"/>
        <w:rPr>
          <w:rFonts w:ascii="Arial" w:hAnsi="Arial" w:cs="Arial"/>
          <w:b/>
          <w:bCs/>
          <w:sz w:val="20"/>
          <w:szCs w:val="20"/>
        </w:rPr>
      </w:pPr>
      <w:r w:rsidRPr="00A72B35">
        <w:rPr>
          <w:rFonts w:ascii="Arial" w:hAnsi="Arial" w:cs="Arial"/>
          <w:bCs/>
          <w:sz w:val="20"/>
          <w:szCs w:val="20"/>
        </w:rPr>
        <w:t>Definition: The changing trends of tumor incidence in recent years.</w:t>
      </w:r>
      <w:r w:rsidRPr="00A72B35">
        <w:rPr>
          <w:rFonts w:ascii="Arial" w:hAnsi="Arial" w:cs="Arial"/>
          <w:b/>
          <w:sz w:val="20"/>
          <w:szCs w:val="20"/>
        </w:rPr>
        <w:br/>
        <w:t xml:space="preserve">HCI 69: </w:t>
      </w:r>
      <w:r w:rsidRPr="00A72B35">
        <w:rPr>
          <w:rFonts w:ascii="Arial" w:hAnsi="Arial" w:cs="Arial"/>
          <w:b/>
          <w:bCs/>
          <w:sz w:val="20"/>
          <w:szCs w:val="20"/>
        </w:rPr>
        <w:t xml:space="preserve">Trends in the incidence of </w:t>
      </w:r>
      <w:bookmarkStart w:id="6" w:name="_Hlk16273658"/>
      <w:r w:rsidRPr="00A72B35">
        <w:rPr>
          <w:rFonts w:ascii="Arial" w:hAnsi="Arial" w:cs="Arial"/>
          <w:b/>
          <w:bCs/>
          <w:sz w:val="20"/>
          <w:szCs w:val="20"/>
        </w:rPr>
        <w:t>cardio-cerebral vascular events</w:t>
      </w:r>
      <w:bookmarkEnd w:id="6"/>
    </w:p>
    <w:p w14:paraId="06271B69" w14:textId="63BBD06B" w:rsidR="00551F05" w:rsidRPr="00A72B35" w:rsidRDefault="00551F05" w:rsidP="00861B37">
      <w:pPr>
        <w:spacing w:line="480" w:lineRule="auto"/>
        <w:rPr>
          <w:rFonts w:ascii="Arial" w:hAnsi="Arial" w:cs="Arial"/>
          <w:b/>
          <w:bCs/>
          <w:sz w:val="20"/>
          <w:szCs w:val="20"/>
        </w:rPr>
      </w:pPr>
      <w:r w:rsidRPr="00A72B35">
        <w:rPr>
          <w:rFonts w:ascii="Arial" w:hAnsi="Arial" w:cs="Arial"/>
          <w:b/>
          <w:bCs/>
          <w:sz w:val="20"/>
          <w:szCs w:val="20"/>
        </w:rPr>
        <w:t>Definition:</w:t>
      </w:r>
      <w:r w:rsidRPr="00A72B35">
        <w:rPr>
          <w:rFonts w:ascii="Arial" w:hAnsi="Arial" w:cs="Arial"/>
          <w:bCs/>
          <w:sz w:val="20"/>
          <w:szCs w:val="20"/>
        </w:rPr>
        <w:t xml:space="preserve"> The changing trends of c</w:t>
      </w:r>
      <w:r w:rsidRPr="00A72B35">
        <w:rPr>
          <w:rFonts w:ascii="Arial" w:hAnsi="Arial" w:cs="Arial"/>
          <w:sz w:val="20"/>
          <w:szCs w:val="20"/>
        </w:rPr>
        <w:t>ardio-cerebral vascular events</w:t>
      </w:r>
      <w:r w:rsidRPr="00A72B35">
        <w:rPr>
          <w:rFonts w:ascii="Arial" w:hAnsi="Arial" w:cs="Arial"/>
          <w:bCs/>
          <w:sz w:val="20"/>
          <w:szCs w:val="20"/>
        </w:rPr>
        <w:t xml:space="preserve"> incidence in recent years.</w:t>
      </w:r>
    </w:p>
    <w:p w14:paraId="25533D33" w14:textId="02731CC7" w:rsidR="00551F05" w:rsidRPr="00A72B35" w:rsidRDefault="00551F05" w:rsidP="00861B37">
      <w:pPr>
        <w:spacing w:line="480" w:lineRule="auto"/>
        <w:ind w:firstLineChars="200" w:firstLine="400"/>
        <w:rPr>
          <w:rFonts w:ascii="Arial" w:hAnsi="Arial" w:cs="Arial"/>
          <w:b/>
          <w:sz w:val="20"/>
          <w:szCs w:val="20"/>
        </w:rPr>
      </w:pPr>
      <w:r w:rsidRPr="00A72B35">
        <w:rPr>
          <w:rFonts w:ascii="Arial" w:hAnsi="Arial" w:cs="Arial"/>
          <w:sz w:val="20"/>
          <w:szCs w:val="20"/>
        </w:rPr>
        <w:t xml:space="preserve">Cardio-cerebral vascular events </w:t>
      </w:r>
      <w:r w:rsidRPr="00A72B35">
        <w:rPr>
          <w:rFonts w:ascii="Arial" w:hAnsi="Arial" w:cs="Arial"/>
          <w:bCs/>
          <w:sz w:val="20"/>
          <w:szCs w:val="20"/>
        </w:rPr>
        <w:t>are acute idiopathic diseases caused by cardiovascular and cerebral vascular diseases caused by risk factors, including</w:t>
      </w:r>
      <w:r w:rsidR="006211D9">
        <w:rPr>
          <w:rFonts w:ascii="Arial" w:hAnsi="Arial" w:cs="Arial"/>
          <w:bCs/>
          <w:sz w:val="20"/>
          <w:szCs w:val="20"/>
        </w:rPr>
        <w:t xml:space="preserve"> the following:</w:t>
      </w:r>
      <w:r w:rsidRPr="00A72B35">
        <w:rPr>
          <w:rFonts w:ascii="Arial" w:hAnsi="Arial" w:cs="Arial"/>
          <w:bCs/>
          <w:sz w:val="20"/>
          <w:szCs w:val="20"/>
        </w:rPr>
        <w:t xml:space="preserve"> stroke (cerebral infarction, subarachnoid hemorrhage, cerebral hemorrhage), myocardial infarction (acute </w:t>
      </w:r>
      <w:r w:rsidRPr="00A72B35">
        <w:rPr>
          <w:rFonts w:ascii="Arial" w:hAnsi="Arial" w:cs="Arial"/>
          <w:bCs/>
          <w:sz w:val="20"/>
          <w:szCs w:val="20"/>
        </w:rPr>
        <w:lastRenderedPageBreak/>
        <w:t xml:space="preserve">myocardial infarction, </w:t>
      </w:r>
      <w:r w:rsidR="006211D9">
        <w:rPr>
          <w:rFonts w:ascii="Arial" w:hAnsi="Arial" w:cs="Arial"/>
          <w:bCs/>
          <w:sz w:val="20"/>
          <w:szCs w:val="20"/>
        </w:rPr>
        <w:t xml:space="preserve">the </w:t>
      </w:r>
      <w:r w:rsidRPr="00A72B35">
        <w:rPr>
          <w:rFonts w:ascii="Arial" w:hAnsi="Arial" w:cs="Arial"/>
          <w:bCs/>
          <w:sz w:val="20"/>
          <w:szCs w:val="20"/>
        </w:rPr>
        <w:t xml:space="preserve">sudden death of coronary heart disease, old myocardial infarction), etc. In China, the “Chinese </w:t>
      </w:r>
      <w:r w:rsidR="006211D9">
        <w:rPr>
          <w:rFonts w:ascii="Arial" w:hAnsi="Arial" w:cs="Arial"/>
          <w:bCs/>
          <w:sz w:val="20"/>
          <w:szCs w:val="20"/>
        </w:rPr>
        <w:t>R</w:t>
      </w:r>
      <w:r w:rsidR="006211D9" w:rsidRPr="00A72B35">
        <w:rPr>
          <w:rFonts w:ascii="Arial" w:hAnsi="Arial" w:cs="Arial"/>
          <w:bCs/>
          <w:sz w:val="20"/>
          <w:szCs w:val="20"/>
        </w:rPr>
        <w:t xml:space="preserve">esident </w:t>
      </w:r>
      <w:r w:rsidR="006211D9">
        <w:rPr>
          <w:rFonts w:ascii="Arial" w:hAnsi="Arial" w:cs="Arial"/>
          <w:bCs/>
          <w:sz w:val="20"/>
          <w:szCs w:val="20"/>
        </w:rPr>
        <w:t>C</w:t>
      </w:r>
      <w:r w:rsidR="006211D9" w:rsidRPr="00A72B35">
        <w:rPr>
          <w:rFonts w:ascii="Arial" w:hAnsi="Arial" w:cs="Arial"/>
          <w:bCs/>
          <w:sz w:val="20"/>
          <w:szCs w:val="20"/>
        </w:rPr>
        <w:t xml:space="preserve">hronic </w:t>
      </w:r>
      <w:r w:rsidR="006211D9">
        <w:rPr>
          <w:rFonts w:ascii="Arial" w:hAnsi="Arial" w:cs="Arial"/>
          <w:bCs/>
          <w:sz w:val="20"/>
          <w:szCs w:val="20"/>
        </w:rPr>
        <w:t>D</w:t>
      </w:r>
      <w:r w:rsidR="006211D9" w:rsidRPr="00A72B35">
        <w:rPr>
          <w:rFonts w:ascii="Arial" w:hAnsi="Arial" w:cs="Arial"/>
          <w:bCs/>
          <w:sz w:val="20"/>
          <w:szCs w:val="20"/>
        </w:rPr>
        <w:t xml:space="preserve">isease </w:t>
      </w:r>
      <w:r w:rsidRPr="00A72B35">
        <w:rPr>
          <w:rFonts w:ascii="Arial" w:hAnsi="Arial" w:cs="Arial"/>
          <w:bCs/>
          <w:sz w:val="20"/>
          <w:szCs w:val="20"/>
        </w:rPr>
        <w:t xml:space="preserve">and </w:t>
      </w:r>
      <w:r w:rsidR="006211D9">
        <w:rPr>
          <w:rFonts w:ascii="Arial" w:hAnsi="Arial" w:cs="Arial"/>
          <w:bCs/>
          <w:sz w:val="20"/>
          <w:szCs w:val="20"/>
        </w:rPr>
        <w:t>N</w:t>
      </w:r>
      <w:r w:rsidR="006211D9" w:rsidRPr="00A72B35">
        <w:rPr>
          <w:rFonts w:ascii="Arial" w:hAnsi="Arial" w:cs="Arial"/>
          <w:bCs/>
          <w:sz w:val="20"/>
          <w:szCs w:val="20"/>
        </w:rPr>
        <w:t xml:space="preserve">utrition </w:t>
      </w:r>
      <w:r w:rsidR="006211D9">
        <w:rPr>
          <w:rFonts w:ascii="Arial" w:hAnsi="Arial" w:cs="Arial"/>
          <w:bCs/>
          <w:sz w:val="20"/>
          <w:szCs w:val="20"/>
        </w:rPr>
        <w:t>M</w:t>
      </w:r>
      <w:r w:rsidR="006211D9" w:rsidRPr="00A72B35">
        <w:rPr>
          <w:rFonts w:ascii="Arial" w:hAnsi="Arial" w:cs="Arial"/>
          <w:bCs/>
          <w:sz w:val="20"/>
          <w:szCs w:val="20"/>
        </w:rPr>
        <w:t xml:space="preserve">onitoring </w:t>
      </w:r>
      <w:r w:rsidR="006211D9">
        <w:rPr>
          <w:rFonts w:ascii="Arial" w:hAnsi="Arial" w:cs="Arial"/>
          <w:bCs/>
          <w:sz w:val="20"/>
          <w:szCs w:val="20"/>
        </w:rPr>
        <w:t>W</w:t>
      </w:r>
      <w:r w:rsidR="006211D9" w:rsidRPr="00A72B35">
        <w:rPr>
          <w:rFonts w:ascii="Arial" w:hAnsi="Arial" w:cs="Arial"/>
          <w:bCs/>
          <w:sz w:val="20"/>
          <w:szCs w:val="20"/>
        </w:rPr>
        <w:t xml:space="preserve">ork </w:t>
      </w:r>
      <w:r w:rsidR="006211D9">
        <w:rPr>
          <w:rFonts w:ascii="Arial" w:hAnsi="Arial" w:cs="Arial"/>
          <w:bCs/>
          <w:sz w:val="20"/>
          <w:szCs w:val="20"/>
        </w:rPr>
        <w:t>P</w:t>
      </w:r>
      <w:r w:rsidR="006211D9" w:rsidRPr="00A72B35">
        <w:rPr>
          <w:rFonts w:ascii="Arial" w:hAnsi="Arial" w:cs="Arial"/>
          <w:bCs/>
          <w:sz w:val="20"/>
          <w:szCs w:val="20"/>
        </w:rPr>
        <w:t>rogram</w:t>
      </w:r>
      <w:r w:rsidRPr="00A72B35">
        <w:rPr>
          <w:rFonts w:ascii="Arial" w:hAnsi="Arial" w:cs="Arial"/>
          <w:bCs/>
          <w:sz w:val="20"/>
          <w:szCs w:val="20"/>
        </w:rPr>
        <w:t>” and “National N</w:t>
      </w:r>
      <w:r w:rsidRPr="00A72B35">
        <w:rPr>
          <w:rFonts w:ascii="Arial" w:hAnsi="Arial" w:cs="Arial"/>
          <w:sz w:val="20"/>
          <w:szCs w:val="20"/>
        </w:rPr>
        <w:t>oninfectious Chronic Disease</w:t>
      </w:r>
      <w:r w:rsidRPr="00A72B35">
        <w:rPr>
          <w:rFonts w:ascii="Arial" w:hAnsi="Arial" w:cs="Arial"/>
          <w:bCs/>
          <w:sz w:val="20"/>
          <w:szCs w:val="20"/>
        </w:rPr>
        <w:t>s Comprehensive Prevention and Control Demonstration Zone Work Guidance Program” clearly state</w:t>
      </w:r>
      <w:r w:rsidR="006211D9">
        <w:rPr>
          <w:rFonts w:ascii="Arial" w:hAnsi="Arial" w:cs="Arial"/>
          <w:bCs/>
          <w:sz w:val="20"/>
          <w:szCs w:val="20"/>
        </w:rPr>
        <w:t xml:space="preserve"> that</w:t>
      </w:r>
      <w:r w:rsidRPr="00A72B35">
        <w:rPr>
          <w:rFonts w:ascii="Arial" w:hAnsi="Arial" w:cs="Arial"/>
          <w:bCs/>
          <w:sz w:val="20"/>
          <w:szCs w:val="20"/>
        </w:rPr>
        <w:t xml:space="preserve"> monitor</w:t>
      </w:r>
      <w:r w:rsidR="006211D9">
        <w:rPr>
          <w:rFonts w:ascii="Arial" w:hAnsi="Arial" w:cs="Arial"/>
          <w:bCs/>
          <w:sz w:val="20"/>
          <w:szCs w:val="20"/>
        </w:rPr>
        <w:t>ing</w:t>
      </w:r>
      <w:r w:rsidRPr="00A72B35">
        <w:rPr>
          <w:rFonts w:ascii="Arial" w:hAnsi="Arial" w:cs="Arial"/>
          <w:bCs/>
          <w:sz w:val="20"/>
          <w:szCs w:val="20"/>
        </w:rPr>
        <w:t xml:space="preserve"> </w:t>
      </w:r>
      <w:r w:rsidRPr="00A72B35">
        <w:rPr>
          <w:rFonts w:ascii="Arial" w:hAnsi="Arial" w:cs="Arial"/>
          <w:sz w:val="20"/>
          <w:szCs w:val="20"/>
        </w:rPr>
        <w:t>cardio-cerebral vascular events</w:t>
      </w:r>
      <w:r w:rsidR="006211D9">
        <w:rPr>
          <w:rFonts w:ascii="Arial" w:hAnsi="Arial" w:cs="Arial"/>
          <w:sz w:val="20"/>
          <w:szCs w:val="20"/>
        </w:rPr>
        <w:t xml:space="preserve"> is necessary. Furthermore,</w:t>
      </w:r>
      <w:r w:rsidRPr="00A72B35">
        <w:rPr>
          <w:rFonts w:ascii="Arial" w:hAnsi="Arial" w:cs="Arial"/>
          <w:bCs/>
          <w:sz w:val="20"/>
          <w:szCs w:val="20"/>
        </w:rPr>
        <w:t xml:space="preserve"> a dedicated report system for monitoring </w:t>
      </w:r>
      <w:r w:rsidRPr="00A72B35">
        <w:rPr>
          <w:rFonts w:ascii="Arial" w:hAnsi="Arial" w:cs="Arial"/>
          <w:sz w:val="20"/>
          <w:szCs w:val="20"/>
        </w:rPr>
        <w:t>cardio-cerebral vascular events</w:t>
      </w:r>
      <w:r w:rsidR="006211D9">
        <w:rPr>
          <w:rFonts w:ascii="Arial" w:hAnsi="Arial" w:cs="Arial"/>
          <w:sz w:val="20"/>
          <w:szCs w:val="20"/>
        </w:rPr>
        <w:t xml:space="preserve"> exists</w:t>
      </w:r>
      <w:r w:rsidRPr="00A72B35">
        <w:rPr>
          <w:rFonts w:ascii="Arial" w:hAnsi="Arial" w:cs="Arial"/>
          <w:bCs/>
          <w:sz w:val="20"/>
          <w:szCs w:val="20"/>
        </w:rPr>
        <w:t xml:space="preserve">. </w:t>
      </w:r>
      <w:r w:rsidRPr="00A72B35">
        <w:rPr>
          <w:rFonts w:ascii="Arial" w:hAnsi="Arial" w:cs="Arial"/>
          <w:b/>
          <w:sz w:val="20"/>
          <w:szCs w:val="20"/>
        </w:rPr>
        <w:br/>
        <w:t>HCI 70: Prevalence of obesity (adults/children) (%)</w:t>
      </w:r>
    </w:p>
    <w:p w14:paraId="055F8DE5" w14:textId="125AA922"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Adults with a body mass index (BMI) greater than or equal to 28. For children, the target population </w:t>
      </w:r>
      <w:r w:rsidR="006211D9">
        <w:rPr>
          <w:rFonts w:ascii="Arial" w:hAnsi="Arial" w:cs="Arial"/>
          <w:sz w:val="20"/>
          <w:szCs w:val="20"/>
        </w:rPr>
        <w:t>is</w:t>
      </w:r>
      <w:r w:rsidR="006211D9" w:rsidRPr="00A72B35">
        <w:rPr>
          <w:rFonts w:ascii="Arial" w:hAnsi="Arial" w:cs="Arial"/>
          <w:sz w:val="20"/>
          <w:szCs w:val="20"/>
        </w:rPr>
        <w:t xml:space="preserve"> </w:t>
      </w:r>
      <w:r w:rsidRPr="00A72B35">
        <w:rPr>
          <w:rFonts w:ascii="Arial" w:hAnsi="Arial" w:cs="Arial"/>
          <w:sz w:val="20"/>
          <w:szCs w:val="20"/>
        </w:rPr>
        <w:t>6-</w:t>
      </w:r>
      <w:r w:rsidR="006211D9">
        <w:rPr>
          <w:rFonts w:ascii="Arial" w:hAnsi="Arial" w:cs="Arial"/>
          <w:sz w:val="20"/>
          <w:szCs w:val="20"/>
        </w:rPr>
        <w:t xml:space="preserve"> to </w:t>
      </w:r>
      <w:r w:rsidRPr="00A72B35">
        <w:rPr>
          <w:rFonts w:ascii="Arial" w:hAnsi="Arial" w:cs="Arial"/>
          <w:sz w:val="20"/>
          <w:szCs w:val="20"/>
        </w:rPr>
        <w:t>18</w:t>
      </w:r>
      <w:r w:rsidR="006211D9">
        <w:rPr>
          <w:rFonts w:ascii="Arial" w:hAnsi="Arial" w:cs="Arial"/>
          <w:sz w:val="20"/>
          <w:szCs w:val="20"/>
        </w:rPr>
        <w:t>-</w:t>
      </w:r>
      <w:r w:rsidRPr="00A72B35">
        <w:rPr>
          <w:rFonts w:ascii="Arial" w:hAnsi="Arial" w:cs="Arial"/>
          <w:sz w:val="20"/>
          <w:szCs w:val="20"/>
        </w:rPr>
        <w:t xml:space="preserve"> year</w:t>
      </w:r>
      <w:r w:rsidR="006211D9">
        <w:rPr>
          <w:rFonts w:ascii="Arial" w:hAnsi="Arial" w:cs="Arial"/>
          <w:sz w:val="20"/>
          <w:szCs w:val="20"/>
        </w:rPr>
        <w:t>-</w:t>
      </w:r>
      <w:r w:rsidRPr="00A72B35">
        <w:rPr>
          <w:rFonts w:ascii="Arial" w:hAnsi="Arial" w:cs="Arial"/>
          <w:sz w:val="20"/>
          <w:szCs w:val="20"/>
        </w:rPr>
        <w:t xml:space="preserve">old school children and adolescents in the jurisdiction, whose obesity </w:t>
      </w:r>
      <w:r w:rsidR="006211D9">
        <w:rPr>
          <w:rFonts w:ascii="Arial" w:hAnsi="Arial" w:cs="Arial"/>
          <w:sz w:val="20"/>
          <w:szCs w:val="20"/>
        </w:rPr>
        <w:t>is</w:t>
      </w:r>
      <w:r w:rsidR="006211D9" w:rsidRPr="00A72B35">
        <w:rPr>
          <w:rFonts w:ascii="Arial" w:hAnsi="Arial" w:cs="Arial"/>
          <w:sz w:val="20"/>
          <w:szCs w:val="20"/>
        </w:rPr>
        <w:t xml:space="preserve"> </w:t>
      </w:r>
      <w:r w:rsidRPr="00A72B35">
        <w:rPr>
          <w:rFonts w:ascii="Arial" w:hAnsi="Arial" w:cs="Arial"/>
          <w:sz w:val="20"/>
          <w:szCs w:val="20"/>
        </w:rPr>
        <w:t xml:space="preserve">based on </w:t>
      </w:r>
      <w:r w:rsidR="006211D9">
        <w:rPr>
          <w:rFonts w:ascii="Arial" w:hAnsi="Arial" w:cs="Arial"/>
          <w:sz w:val="20"/>
          <w:szCs w:val="20"/>
        </w:rPr>
        <w:t>the criteria of “</w:t>
      </w:r>
      <w:r w:rsidRPr="00A72B35">
        <w:rPr>
          <w:rFonts w:ascii="Arial" w:hAnsi="Arial" w:cs="Arial"/>
          <w:sz w:val="20"/>
          <w:szCs w:val="20"/>
        </w:rPr>
        <w:t xml:space="preserve">Screening for </w:t>
      </w:r>
      <w:r w:rsidR="006211D9">
        <w:rPr>
          <w:rFonts w:ascii="Arial" w:hAnsi="Arial" w:cs="Arial"/>
          <w:sz w:val="20"/>
          <w:szCs w:val="20"/>
        </w:rPr>
        <w:t>O</w:t>
      </w:r>
      <w:r w:rsidR="006211D9" w:rsidRPr="00A72B35">
        <w:rPr>
          <w:rFonts w:ascii="Arial" w:hAnsi="Arial" w:cs="Arial"/>
          <w:sz w:val="20"/>
          <w:szCs w:val="20"/>
        </w:rPr>
        <w:t xml:space="preserve">verweight </w:t>
      </w:r>
      <w:r w:rsidRPr="00A72B35">
        <w:rPr>
          <w:rFonts w:ascii="Arial" w:hAnsi="Arial" w:cs="Arial"/>
          <w:sz w:val="20"/>
          <w:szCs w:val="20"/>
        </w:rPr>
        <w:t xml:space="preserve">and </w:t>
      </w:r>
      <w:r w:rsidR="006211D9">
        <w:rPr>
          <w:rFonts w:ascii="Arial" w:hAnsi="Arial" w:cs="Arial"/>
          <w:sz w:val="20"/>
          <w:szCs w:val="20"/>
        </w:rPr>
        <w:t>O</w:t>
      </w:r>
      <w:r w:rsidR="006211D9" w:rsidRPr="00A72B35">
        <w:rPr>
          <w:rFonts w:ascii="Arial" w:hAnsi="Arial" w:cs="Arial"/>
          <w:sz w:val="20"/>
          <w:szCs w:val="20"/>
        </w:rPr>
        <w:t xml:space="preserve">besity </w:t>
      </w:r>
      <w:r w:rsidRPr="00A72B35">
        <w:rPr>
          <w:rFonts w:ascii="Arial" w:hAnsi="Arial" w:cs="Arial"/>
          <w:sz w:val="20"/>
          <w:szCs w:val="20"/>
        </w:rPr>
        <w:t xml:space="preserve">among </w:t>
      </w:r>
      <w:r w:rsidR="006211D9">
        <w:rPr>
          <w:rFonts w:ascii="Arial" w:hAnsi="Arial" w:cs="Arial"/>
          <w:sz w:val="20"/>
          <w:szCs w:val="20"/>
        </w:rPr>
        <w:t>S</w:t>
      </w:r>
      <w:r w:rsidR="006211D9" w:rsidRPr="00A72B35">
        <w:rPr>
          <w:rFonts w:ascii="Arial" w:hAnsi="Arial" w:cs="Arial"/>
          <w:sz w:val="20"/>
          <w:szCs w:val="20"/>
        </w:rPr>
        <w:t>chool</w:t>
      </w:r>
      <w:r w:rsidRPr="00A72B35">
        <w:rPr>
          <w:rFonts w:ascii="Arial" w:hAnsi="Arial" w:cs="Arial"/>
          <w:sz w:val="20"/>
          <w:szCs w:val="20"/>
        </w:rPr>
        <w:t xml:space="preserve">-age </w:t>
      </w:r>
      <w:r w:rsidR="006211D9">
        <w:rPr>
          <w:rFonts w:ascii="Arial" w:hAnsi="Arial" w:cs="Arial"/>
          <w:sz w:val="20"/>
          <w:szCs w:val="20"/>
        </w:rPr>
        <w:t>C</w:t>
      </w:r>
      <w:r w:rsidR="006211D9" w:rsidRPr="00A72B35">
        <w:rPr>
          <w:rFonts w:ascii="Arial" w:hAnsi="Arial" w:cs="Arial"/>
          <w:sz w:val="20"/>
          <w:szCs w:val="20"/>
        </w:rPr>
        <w:t xml:space="preserve">hildren </w:t>
      </w:r>
      <w:r w:rsidRPr="00A72B35">
        <w:rPr>
          <w:rFonts w:ascii="Arial" w:hAnsi="Arial" w:cs="Arial"/>
          <w:sz w:val="20"/>
          <w:szCs w:val="20"/>
        </w:rPr>
        <w:t xml:space="preserve">and </w:t>
      </w:r>
      <w:r w:rsidR="006211D9">
        <w:rPr>
          <w:rFonts w:ascii="Arial" w:hAnsi="Arial" w:cs="Arial"/>
          <w:sz w:val="20"/>
          <w:szCs w:val="20"/>
        </w:rPr>
        <w:t>A</w:t>
      </w:r>
      <w:r w:rsidR="006211D9" w:rsidRPr="00A72B35">
        <w:rPr>
          <w:rFonts w:ascii="Arial" w:hAnsi="Arial" w:cs="Arial"/>
          <w:sz w:val="20"/>
          <w:szCs w:val="20"/>
        </w:rPr>
        <w:t>dolescents</w:t>
      </w:r>
      <w:r w:rsidR="009D09C1" w:rsidRPr="00A72B35">
        <w:rPr>
          <w:rFonts w:ascii="Arial" w:hAnsi="Arial" w:cs="Arial"/>
          <w:sz w:val="20"/>
          <w:szCs w:val="20"/>
        </w:rPr>
        <w:t>.</w:t>
      </w:r>
      <w:r w:rsidRPr="00A72B35">
        <w:rPr>
          <w:rFonts w:ascii="Arial" w:hAnsi="Arial" w:cs="Arial"/>
          <w:sz w:val="20"/>
          <w:szCs w:val="20"/>
        </w:rPr>
        <w:t>”</w:t>
      </w:r>
    </w:p>
    <w:p w14:paraId="3DD33ECB"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71: Health literacy level (%)</w:t>
      </w:r>
    </w:p>
    <w:p w14:paraId="6C1CB8DA" w14:textId="216F29A8"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 xml:space="preserve">Definition: The proportion of residents with basic health literacy to all </w:t>
      </w:r>
      <w:r w:rsidR="009D09C1">
        <w:rPr>
          <w:rFonts w:ascii="Arial" w:hAnsi="Arial" w:cs="Arial"/>
          <w:sz w:val="20"/>
          <w:szCs w:val="20"/>
        </w:rPr>
        <w:t xml:space="preserve">other </w:t>
      </w:r>
      <w:r w:rsidRPr="00A72B35">
        <w:rPr>
          <w:rFonts w:ascii="Arial" w:hAnsi="Arial" w:cs="Arial"/>
          <w:sz w:val="20"/>
          <w:szCs w:val="20"/>
        </w:rPr>
        <w:t xml:space="preserve">residents. </w:t>
      </w:r>
      <w:r w:rsidR="009D09C1">
        <w:rPr>
          <w:rFonts w:ascii="Arial" w:hAnsi="Arial" w:cs="Arial"/>
          <w:sz w:val="20"/>
          <w:szCs w:val="20"/>
        </w:rPr>
        <w:t>A</w:t>
      </w:r>
      <w:r w:rsidRPr="00A72B35">
        <w:rPr>
          <w:rFonts w:ascii="Arial" w:hAnsi="Arial" w:cs="Arial"/>
          <w:sz w:val="20"/>
          <w:szCs w:val="20"/>
        </w:rPr>
        <w:t xml:space="preserve"> general Chinese Health Literacy Scale </w:t>
      </w:r>
      <w:r w:rsidR="009D09C1">
        <w:rPr>
          <w:rFonts w:ascii="Arial" w:hAnsi="Arial" w:cs="Arial"/>
          <w:sz w:val="20"/>
          <w:szCs w:val="20"/>
        </w:rPr>
        <w:t xml:space="preserve">is used </w:t>
      </w:r>
      <w:r w:rsidRPr="00A72B35">
        <w:rPr>
          <w:rFonts w:ascii="Arial" w:hAnsi="Arial" w:cs="Arial"/>
          <w:sz w:val="20"/>
          <w:szCs w:val="20"/>
        </w:rPr>
        <w:t xml:space="preserve">to assess the health literacy level. Since 2008, China has conducted </w:t>
      </w:r>
      <w:r w:rsidR="009D09C1">
        <w:rPr>
          <w:rFonts w:ascii="Arial" w:hAnsi="Arial" w:cs="Arial"/>
          <w:sz w:val="20"/>
          <w:szCs w:val="20"/>
        </w:rPr>
        <w:t xml:space="preserve">annual </w:t>
      </w:r>
      <w:r w:rsidRPr="00A72B35">
        <w:rPr>
          <w:rFonts w:ascii="Arial" w:hAnsi="Arial" w:cs="Arial"/>
          <w:sz w:val="20"/>
          <w:szCs w:val="20"/>
        </w:rPr>
        <w:t>national health literacy survey</w:t>
      </w:r>
      <w:r w:rsidR="009D09C1">
        <w:rPr>
          <w:rFonts w:ascii="Arial" w:hAnsi="Arial" w:cs="Arial"/>
          <w:sz w:val="20"/>
          <w:szCs w:val="20"/>
        </w:rPr>
        <w:t>s</w:t>
      </w:r>
      <w:r w:rsidRPr="00A72B35">
        <w:rPr>
          <w:rFonts w:ascii="Arial" w:hAnsi="Arial" w:cs="Arial"/>
          <w:sz w:val="20"/>
          <w:szCs w:val="20"/>
        </w:rPr>
        <w:t>.</w:t>
      </w:r>
    </w:p>
    <w:p w14:paraId="24EC6B7F" w14:textId="77777777" w:rsidR="00551F05" w:rsidRPr="00A72B35" w:rsidRDefault="00551F05" w:rsidP="00861B37">
      <w:pPr>
        <w:spacing w:line="480" w:lineRule="auto"/>
        <w:rPr>
          <w:rFonts w:ascii="Arial" w:hAnsi="Arial" w:cs="Arial"/>
          <w:b/>
          <w:sz w:val="20"/>
          <w:szCs w:val="20"/>
        </w:rPr>
      </w:pPr>
      <w:r w:rsidRPr="00A72B35">
        <w:rPr>
          <w:rFonts w:ascii="Arial" w:hAnsi="Arial" w:cs="Arial"/>
          <w:b/>
          <w:sz w:val="20"/>
          <w:szCs w:val="20"/>
        </w:rPr>
        <w:t>HCI 72: Smoking rate (by gender) (%)</w:t>
      </w:r>
    </w:p>
    <w:p w14:paraId="1CE4BAFC" w14:textId="409DDF22" w:rsidR="00551F05" w:rsidRPr="00A72B35" w:rsidRDefault="00551F05" w:rsidP="00861B37">
      <w:pPr>
        <w:spacing w:line="480" w:lineRule="auto"/>
        <w:rPr>
          <w:rFonts w:ascii="Arial" w:hAnsi="Arial" w:cs="Arial"/>
          <w:b/>
          <w:sz w:val="20"/>
          <w:szCs w:val="20"/>
        </w:rPr>
      </w:pPr>
      <w:r w:rsidRPr="00A72B35">
        <w:rPr>
          <w:rFonts w:ascii="Arial" w:hAnsi="Arial" w:cs="Arial"/>
          <w:sz w:val="20"/>
          <w:szCs w:val="20"/>
        </w:rPr>
        <w:t>Definition: The proportion of smokers in the sample survey population (15 years and older) to the total number of respondents.</w:t>
      </w:r>
      <w:r w:rsidRPr="00A72B35">
        <w:rPr>
          <w:rFonts w:ascii="Arial" w:hAnsi="Arial" w:cs="Arial"/>
          <w:b/>
          <w:sz w:val="20"/>
          <w:szCs w:val="20"/>
        </w:rPr>
        <w:br/>
        <w:t xml:space="preserve">HCI 73: </w:t>
      </w:r>
      <w:r w:rsidR="009D09C1">
        <w:rPr>
          <w:rFonts w:ascii="Arial" w:hAnsi="Arial" w:cs="Arial"/>
          <w:b/>
          <w:sz w:val="20"/>
          <w:szCs w:val="20"/>
        </w:rPr>
        <w:t>P</w:t>
      </w:r>
      <w:r w:rsidRPr="00A72B35">
        <w:rPr>
          <w:rFonts w:ascii="Arial" w:hAnsi="Arial" w:cs="Arial"/>
          <w:b/>
          <w:sz w:val="20"/>
          <w:szCs w:val="20"/>
        </w:rPr>
        <w:t>roportion of people who regularly participate in physical exercise (%)</w:t>
      </w:r>
    </w:p>
    <w:p w14:paraId="0DE612D7" w14:textId="0385F1AC" w:rsidR="00551F05" w:rsidRPr="00A72B35" w:rsidRDefault="00551F05" w:rsidP="00861B37">
      <w:pPr>
        <w:spacing w:line="480" w:lineRule="auto"/>
        <w:rPr>
          <w:rFonts w:ascii="Arial" w:hAnsi="Arial" w:cs="Arial"/>
          <w:sz w:val="20"/>
          <w:szCs w:val="20"/>
        </w:rPr>
      </w:pPr>
      <w:r w:rsidRPr="00A72B35">
        <w:rPr>
          <w:rFonts w:ascii="Arial" w:hAnsi="Arial" w:cs="Arial"/>
          <w:sz w:val="20"/>
          <w:szCs w:val="20"/>
        </w:rPr>
        <w:t>Definition: The proportion of people who regularly participate in physical exercise in the sample survey population to the total number of residents.</w:t>
      </w:r>
    </w:p>
    <w:p w14:paraId="34F08F33" w14:textId="0570A85D" w:rsidR="00861B37" w:rsidRPr="00A72B35" w:rsidRDefault="009D09C1" w:rsidP="00A97F2F">
      <w:pPr>
        <w:spacing w:line="480" w:lineRule="auto"/>
        <w:ind w:firstLineChars="200" w:firstLine="400"/>
        <w:rPr>
          <w:rFonts w:ascii="Arial" w:hAnsi="Arial" w:cs="Arial"/>
          <w:b/>
          <w:sz w:val="20"/>
          <w:szCs w:val="20"/>
        </w:rPr>
      </w:pPr>
      <w:r>
        <w:rPr>
          <w:rFonts w:ascii="Arial" w:hAnsi="Arial" w:cs="Arial"/>
          <w:sz w:val="20"/>
          <w:szCs w:val="20"/>
        </w:rPr>
        <w:t>“</w:t>
      </w:r>
      <w:r w:rsidR="00551F05" w:rsidRPr="00A72B35">
        <w:rPr>
          <w:rFonts w:ascii="Arial" w:hAnsi="Arial" w:cs="Arial"/>
          <w:sz w:val="20"/>
          <w:szCs w:val="20"/>
        </w:rPr>
        <w:t>Regular physical exercise</w:t>
      </w:r>
      <w:r>
        <w:rPr>
          <w:rFonts w:ascii="Arial" w:hAnsi="Arial" w:cs="Arial"/>
          <w:sz w:val="20"/>
          <w:szCs w:val="20"/>
        </w:rPr>
        <w:t>”</w:t>
      </w:r>
      <w:r w:rsidR="00551F05" w:rsidRPr="00A72B35">
        <w:rPr>
          <w:rFonts w:ascii="Arial" w:hAnsi="Arial" w:cs="Arial"/>
          <w:sz w:val="20"/>
          <w:szCs w:val="20"/>
        </w:rPr>
        <w:t xml:space="preserve"> means participating in physical exercise activities no less than </w:t>
      </w:r>
      <w:r>
        <w:rPr>
          <w:rFonts w:ascii="Arial" w:hAnsi="Arial" w:cs="Arial"/>
          <w:sz w:val="20"/>
          <w:szCs w:val="20"/>
        </w:rPr>
        <w:t>three</w:t>
      </w:r>
      <w:r w:rsidRPr="00A72B35">
        <w:rPr>
          <w:rFonts w:ascii="Arial" w:hAnsi="Arial" w:cs="Arial"/>
          <w:sz w:val="20"/>
          <w:szCs w:val="20"/>
        </w:rPr>
        <w:t xml:space="preserve"> </w:t>
      </w:r>
      <w:r w:rsidR="00551F05" w:rsidRPr="00A72B35">
        <w:rPr>
          <w:rFonts w:ascii="Arial" w:hAnsi="Arial" w:cs="Arial"/>
          <w:sz w:val="20"/>
          <w:szCs w:val="20"/>
        </w:rPr>
        <w:t>times a week, no less than 30 min each time, and moderate exercise intensity.</w:t>
      </w:r>
      <w:r w:rsidR="00551F05" w:rsidRPr="00A72B35">
        <w:rPr>
          <w:rFonts w:ascii="Arial" w:hAnsi="Arial" w:cs="Arial"/>
          <w:b/>
          <w:sz w:val="20"/>
          <w:szCs w:val="20"/>
        </w:rPr>
        <w:br/>
        <w:t xml:space="preserve">Characteristic HCI 1: </w:t>
      </w:r>
      <w:r>
        <w:rPr>
          <w:rFonts w:ascii="Arial" w:hAnsi="Arial" w:cs="Arial"/>
          <w:b/>
          <w:sz w:val="20"/>
          <w:szCs w:val="20"/>
        </w:rPr>
        <w:t>N</w:t>
      </w:r>
      <w:r w:rsidR="00551F05" w:rsidRPr="00A72B35">
        <w:rPr>
          <w:rFonts w:ascii="Arial" w:hAnsi="Arial" w:cs="Arial"/>
          <w:b/>
          <w:sz w:val="20"/>
          <w:szCs w:val="20"/>
        </w:rPr>
        <w:t>umber of large-scale (national and above) national fitness activities held each year</w:t>
      </w:r>
    </w:p>
    <w:p w14:paraId="5B9D4043" w14:textId="2436AA0B" w:rsidR="00551F05" w:rsidRPr="00A72B35" w:rsidRDefault="00551F05" w:rsidP="00A97F2F">
      <w:pPr>
        <w:spacing w:line="480" w:lineRule="auto"/>
        <w:ind w:firstLineChars="200" w:firstLine="400"/>
        <w:rPr>
          <w:rFonts w:ascii="Arial" w:hAnsi="Arial" w:cs="Arial"/>
          <w:b/>
          <w:sz w:val="20"/>
          <w:szCs w:val="20"/>
        </w:rPr>
      </w:pPr>
      <w:r w:rsidRPr="00A72B35">
        <w:rPr>
          <w:rFonts w:ascii="Arial" w:hAnsi="Arial" w:cs="Arial"/>
          <w:sz w:val="20"/>
          <w:szCs w:val="20"/>
        </w:rPr>
        <w:t xml:space="preserve">The pilot urban area is in charge of </w:t>
      </w:r>
      <w:r w:rsidR="009D09C1">
        <w:rPr>
          <w:rFonts w:ascii="Arial" w:hAnsi="Arial" w:cs="Arial"/>
          <w:sz w:val="20"/>
          <w:szCs w:val="20"/>
        </w:rPr>
        <w:t xml:space="preserve">the </w:t>
      </w:r>
      <w:r w:rsidRPr="00A72B35">
        <w:rPr>
          <w:rFonts w:ascii="Arial" w:hAnsi="Arial" w:cs="Arial"/>
          <w:sz w:val="20"/>
          <w:szCs w:val="20"/>
        </w:rPr>
        <w:t xml:space="preserve">Chongqing </w:t>
      </w:r>
      <w:r w:rsidR="009D09C1">
        <w:rPr>
          <w:rFonts w:ascii="Arial" w:hAnsi="Arial" w:cs="Arial"/>
          <w:sz w:val="20"/>
          <w:szCs w:val="20"/>
        </w:rPr>
        <w:t>I</w:t>
      </w:r>
      <w:r w:rsidR="009D09C1" w:rsidRPr="00A72B35">
        <w:rPr>
          <w:rFonts w:ascii="Arial" w:hAnsi="Arial" w:cs="Arial"/>
          <w:sz w:val="20"/>
          <w:szCs w:val="20"/>
        </w:rPr>
        <w:t xml:space="preserve">nternational </w:t>
      </w:r>
      <w:r w:rsidR="009D09C1">
        <w:rPr>
          <w:rFonts w:ascii="Arial" w:hAnsi="Arial" w:cs="Arial"/>
          <w:sz w:val="20"/>
          <w:szCs w:val="20"/>
        </w:rPr>
        <w:t>M</w:t>
      </w:r>
      <w:r w:rsidR="009D09C1" w:rsidRPr="00A72B35">
        <w:rPr>
          <w:rFonts w:ascii="Arial" w:hAnsi="Arial" w:cs="Arial"/>
          <w:sz w:val="20"/>
          <w:szCs w:val="20"/>
        </w:rPr>
        <w:t>arathon</w:t>
      </w:r>
      <w:r w:rsidRPr="00A72B35">
        <w:rPr>
          <w:rFonts w:ascii="Arial" w:hAnsi="Arial" w:cs="Arial"/>
          <w:sz w:val="20"/>
          <w:szCs w:val="20"/>
        </w:rPr>
        <w:t>, so we</w:t>
      </w:r>
      <w:r w:rsidRPr="00A72B35">
        <w:rPr>
          <w:rFonts w:ascii="Arial" w:hAnsi="Arial" w:cs="Arial"/>
          <w:bCs/>
          <w:sz w:val="20"/>
          <w:szCs w:val="20"/>
        </w:rPr>
        <w:t xml:space="preserve"> selected this indicator as one characteristic indicator of the pilot district.</w:t>
      </w:r>
    </w:p>
    <w:p w14:paraId="6FB899DD" w14:textId="77777777" w:rsidR="00BE2B1E" w:rsidRPr="00A72B35" w:rsidRDefault="00551F05" w:rsidP="00A97F2F">
      <w:pPr>
        <w:spacing w:line="480" w:lineRule="auto"/>
        <w:rPr>
          <w:rFonts w:ascii="Arial" w:hAnsi="Arial" w:cs="Arial"/>
          <w:b/>
          <w:sz w:val="20"/>
          <w:szCs w:val="20"/>
        </w:rPr>
      </w:pPr>
      <w:r w:rsidRPr="00A72B35">
        <w:rPr>
          <w:rFonts w:ascii="Arial" w:hAnsi="Arial" w:cs="Arial"/>
          <w:b/>
          <w:sz w:val="20"/>
          <w:szCs w:val="20"/>
        </w:rPr>
        <w:t>Characteristic HCI 2: Health science popularization</w:t>
      </w:r>
      <w:r w:rsidR="00861B37" w:rsidRPr="00A72B35">
        <w:rPr>
          <w:rFonts w:ascii="Arial" w:hAnsi="Arial" w:cs="Arial"/>
          <w:b/>
          <w:sz w:val="20"/>
          <w:szCs w:val="20"/>
        </w:rPr>
        <w:t xml:space="preserve"> </w:t>
      </w:r>
    </w:p>
    <w:p w14:paraId="1ED14BF0" w14:textId="6F14100C" w:rsidR="00551F05" w:rsidRPr="00A72B35" w:rsidRDefault="00551F05" w:rsidP="00A97F2F">
      <w:pPr>
        <w:spacing w:line="480" w:lineRule="auto"/>
        <w:rPr>
          <w:rFonts w:ascii="Arial" w:hAnsi="Arial" w:cs="Arial"/>
          <w:b/>
          <w:sz w:val="20"/>
          <w:szCs w:val="20"/>
        </w:rPr>
      </w:pPr>
      <w:r w:rsidRPr="00A72B35">
        <w:rPr>
          <w:rFonts w:ascii="Arial" w:hAnsi="Arial" w:cs="Arial"/>
          <w:bCs/>
          <w:sz w:val="20"/>
          <w:szCs w:val="20"/>
        </w:rPr>
        <w:t>Definition: Number of people pooled by health science popularizations</w:t>
      </w:r>
      <w:r w:rsidRPr="00A72B35">
        <w:rPr>
          <w:rFonts w:ascii="Arial" w:hAnsi="Arial" w:cs="Arial"/>
          <w:b/>
          <w:sz w:val="20"/>
          <w:szCs w:val="20"/>
        </w:rPr>
        <w:br/>
      </w:r>
      <w:r w:rsidRPr="00A72B35">
        <w:rPr>
          <w:rFonts w:ascii="Arial" w:hAnsi="Arial" w:cs="Arial"/>
          <w:b/>
          <w:sz w:val="20"/>
          <w:szCs w:val="20"/>
        </w:rPr>
        <w:lastRenderedPageBreak/>
        <w:t>Characteristic HCI 3: Construction of health venues</w:t>
      </w:r>
    </w:p>
    <w:p w14:paraId="531F33D3" w14:textId="60261FBE" w:rsidR="00BE2B1E" w:rsidRPr="00A72B35" w:rsidRDefault="00551F05" w:rsidP="00BE2B1E">
      <w:pPr>
        <w:kinsoku w:val="0"/>
        <w:autoSpaceDE w:val="0"/>
        <w:autoSpaceDN w:val="0"/>
        <w:snapToGrid w:val="0"/>
        <w:spacing w:line="480" w:lineRule="auto"/>
        <w:rPr>
          <w:rFonts w:ascii="Arial" w:hAnsi="Arial" w:cs="Arial"/>
          <w:bCs/>
          <w:sz w:val="20"/>
          <w:szCs w:val="20"/>
        </w:rPr>
      </w:pPr>
      <w:r w:rsidRPr="00A72B35">
        <w:rPr>
          <w:rFonts w:ascii="Arial" w:hAnsi="Arial" w:cs="Arial"/>
          <w:bCs/>
          <w:sz w:val="20"/>
          <w:szCs w:val="20"/>
        </w:rPr>
        <w:t>Definition: The number of public sports venues in this jurisdiction.</w:t>
      </w:r>
    </w:p>
    <w:p w14:paraId="625B1E10" w14:textId="71EE5F83" w:rsidR="00551F05" w:rsidRPr="00A72B35" w:rsidRDefault="00551F05" w:rsidP="00BE2B1E">
      <w:pPr>
        <w:kinsoku w:val="0"/>
        <w:autoSpaceDE w:val="0"/>
        <w:autoSpaceDN w:val="0"/>
        <w:snapToGrid w:val="0"/>
        <w:spacing w:line="480" w:lineRule="auto"/>
        <w:ind w:firstLineChars="200" w:firstLine="400"/>
        <w:rPr>
          <w:rFonts w:ascii="Arial" w:hAnsi="Arial" w:cs="Arial"/>
          <w:bCs/>
          <w:sz w:val="20"/>
          <w:szCs w:val="20"/>
        </w:rPr>
      </w:pPr>
      <w:r w:rsidRPr="00A72B35">
        <w:rPr>
          <w:rFonts w:ascii="Arial" w:hAnsi="Arial" w:cs="Arial"/>
          <w:bCs/>
          <w:sz w:val="20"/>
          <w:szCs w:val="20"/>
        </w:rPr>
        <w:t>The public sports venue</w:t>
      </w:r>
      <w:r w:rsidR="009D09C1">
        <w:rPr>
          <w:rFonts w:ascii="Arial" w:hAnsi="Arial" w:cs="Arial"/>
          <w:bCs/>
          <w:sz w:val="20"/>
          <w:szCs w:val="20"/>
        </w:rPr>
        <w:t>s</w:t>
      </w:r>
      <w:r w:rsidRPr="00A72B35">
        <w:rPr>
          <w:rFonts w:ascii="Arial" w:hAnsi="Arial" w:cs="Arial"/>
          <w:bCs/>
          <w:sz w:val="20"/>
          <w:szCs w:val="20"/>
        </w:rPr>
        <w:t xml:space="preserve"> </w:t>
      </w:r>
      <w:r w:rsidR="009D09C1">
        <w:rPr>
          <w:rFonts w:ascii="Arial" w:hAnsi="Arial" w:cs="Arial"/>
          <w:bCs/>
          <w:sz w:val="20"/>
          <w:szCs w:val="20"/>
        </w:rPr>
        <w:t xml:space="preserve">are </w:t>
      </w:r>
      <w:r w:rsidRPr="00A72B35">
        <w:rPr>
          <w:rFonts w:ascii="Arial" w:hAnsi="Arial" w:cs="Arial"/>
          <w:bCs/>
          <w:sz w:val="20"/>
          <w:szCs w:val="20"/>
        </w:rPr>
        <w:t>site</w:t>
      </w:r>
      <w:r w:rsidR="009D09C1">
        <w:rPr>
          <w:rFonts w:ascii="Arial" w:hAnsi="Arial" w:cs="Arial"/>
          <w:bCs/>
          <w:sz w:val="20"/>
          <w:szCs w:val="20"/>
        </w:rPr>
        <w:t>s</w:t>
      </w:r>
      <w:r w:rsidRPr="00A72B35">
        <w:rPr>
          <w:rFonts w:ascii="Arial" w:hAnsi="Arial" w:cs="Arial"/>
          <w:bCs/>
          <w:sz w:val="20"/>
          <w:szCs w:val="20"/>
        </w:rPr>
        <w:t xml:space="preserve"> for public sports activities</w:t>
      </w:r>
      <w:r w:rsidR="009D09C1">
        <w:rPr>
          <w:rFonts w:ascii="Arial" w:hAnsi="Arial" w:cs="Arial"/>
          <w:bCs/>
          <w:sz w:val="20"/>
          <w:szCs w:val="20"/>
        </w:rPr>
        <w:t>;</w:t>
      </w:r>
      <w:r w:rsidRPr="00A72B35">
        <w:rPr>
          <w:rFonts w:ascii="Arial" w:hAnsi="Arial" w:cs="Arial"/>
          <w:bCs/>
          <w:sz w:val="20"/>
          <w:szCs w:val="20"/>
        </w:rPr>
        <w:t xml:space="preserve"> </w:t>
      </w:r>
      <w:r w:rsidR="009D09C1">
        <w:rPr>
          <w:rFonts w:ascii="Arial" w:hAnsi="Arial" w:cs="Arial"/>
          <w:bCs/>
          <w:sz w:val="20"/>
          <w:szCs w:val="20"/>
        </w:rPr>
        <w:t>they are</w:t>
      </w:r>
      <w:r w:rsidRPr="00A72B35">
        <w:rPr>
          <w:rFonts w:ascii="Arial" w:hAnsi="Arial" w:cs="Arial"/>
          <w:bCs/>
          <w:sz w:val="20"/>
          <w:szCs w:val="20"/>
        </w:rPr>
        <w:t xml:space="preserve"> managed by sports departments and </w:t>
      </w:r>
      <w:r w:rsidR="009D09C1">
        <w:rPr>
          <w:rFonts w:ascii="Arial" w:hAnsi="Arial" w:cs="Arial"/>
          <w:bCs/>
          <w:sz w:val="20"/>
          <w:szCs w:val="20"/>
        </w:rPr>
        <w:t xml:space="preserve">are </w:t>
      </w:r>
      <w:r w:rsidRPr="00A72B35">
        <w:rPr>
          <w:rFonts w:ascii="Arial" w:hAnsi="Arial" w:cs="Arial"/>
          <w:bCs/>
          <w:sz w:val="20"/>
          <w:szCs w:val="20"/>
        </w:rPr>
        <w:t>open to the public free of charge.</w:t>
      </w:r>
      <w:bookmarkEnd w:id="0"/>
    </w:p>
    <w:sectPr w:rsidR="00551F05" w:rsidRPr="00A72B35" w:rsidSect="00BE2B1E">
      <w:footerReference w:type="default" r:id="rId8"/>
      <w:pgSz w:w="11906" w:h="16838" w:code="9"/>
      <w:pgMar w:top="1701" w:right="1701" w:bottom="1701"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CE46C" w14:textId="77777777" w:rsidR="00237CFE" w:rsidRDefault="00237CFE" w:rsidP="008656D5">
      <w:r>
        <w:separator/>
      </w:r>
    </w:p>
  </w:endnote>
  <w:endnote w:type="continuationSeparator" w:id="0">
    <w:p w14:paraId="619ADED3" w14:textId="77777777" w:rsidR="00237CFE" w:rsidRDefault="00237CFE" w:rsidP="0086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82B9" w14:textId="77777777" w:rsidR="00133068" w:rsidRDefault="00133068">
    <w:pPr>
      <w:pStyle w:val="a5"/>
      <w:jc w:val="center"/>
    </w:pPr>
    <w:r w:rsidRPr="005F1003">
      <w:rPr>
        <w:rFonts w:ascii="Times New Roman" w:hAnsi="Times New Roman"/>
      </w:rPr>
      <w:fldChar w:fldCharType="begin"/>
    </w:r>
    <w:r w:rsidRPr="005F1003">
      <w:rPr>
        <w:rFonts w:ascii="Times New Roman" w:hAnsi="Times New Roman"/>
      </w:rPr>
      <w:instrText>PAGE   \* MERGEFORMAT</w:instrText>
    </w:r>
    <w:r w:rsidRPr="005F1003">
      <w:rPr>
        <w:rFonts w:ascii="Times New Roman" w:hAnsi="Times New Roman"/>
      </w:rPr>
      <w:fldChar w:fldCharType="separate"/>
    </w:r>
    <w:r w:rsidRPr="005F1003">
      <w:rPr>
        <w:rFonts w:ascii="Times New Roman" w:hAnsi="Times New Roman"/>
        <w:lang w:val="zh-CN"/>
      </w:rPr>
      <w:t>2</w:t>
    </w:r>
    <w:r w:rsidRPr="005F1003">
      <w:rPr>
        <w:rFonts w:ascii="Times New Roman" w:hAnsi="Times New Roman"/>
      </w:rPr>
      <w:fldChar w:fldCharType="end"/>
    </w:r>
  </w:p>
  <w:p w14:paraId="36E8E4CD" w14:textId="77777777" w:rsidR="00133068" w:rsidRDefault="001330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6E303" w14:textId="77777777" w:rsidR="00237CFE" w:rsidRDefault="00237CFE" w:rsidP="008656D5">
      <w:r>
        <w:separator/>
      </w:r>
    </w:p>
  </w:footnote>
  <w:footnote w:type="continuationSeparator" w:id="0">
    <w:p w14:paraId="05300495" w14:textId="77777777" w:rsidR="00237CFE" w:rsidRDefault="00237CFE" w:rsidP="00865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44962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F4EB0A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0F2ED28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6BECFE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AAEF9D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2F6C40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A5E586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45A1F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8D2CA7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E4833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42911CE"/>
    <w:multiLevelType w:val="hybridMultilevel"/>
    <w:tmpl w:val="1F7C4E60"/>
    <w:lvl w:ilvl="0" w:tplc="17CEA3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9E6CBD"/>
    <w:multiLevelType w:val="multilevel"/>
    <w:tmpl w:val="CE4E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80805"/>
    <w:multiLevelType w:val="multilevel"/>
    <w:tmpl w:val="B752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C4E82"/>
    <w:multiLevelType w:val="hybridMultilevel"/>
    <w:tmpl w:val="2E0844DA"/>
    <w:lvl w:ilvl="0" w:tplc="0EDA34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BC7994"/>
    <w:multiLevelType w:val="multilevel"/>
    <w:tmpl w:val="CC8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2"/>
  </w:num>
  <w:num w:numId="4">
    <w:abstractNumId w:val="11"/>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21"/>
    <w:rsid w:val="00000AE8"/>
    <w:rsid w:val="0000165E"/>
    <w:rsid w:val="00001E37"/>
    <w:rsid w:val="00002252"/>
    <w:rsid w:val="00002908"/>
    <w:rsid w:val="00003048"/>
    <w:rsid w:val="000055DF"/>
    <w:rsid w:val="00011AE3"/>
    <w:rsid w:val="00012DBC"/>
    <w:rsid w:val="000146B4"/>
    <w:rsid w:val="0001673B"/>
    <w:rsid w:val="000171FA"/>
    <w:rsid w:val="00017EA2"/>
    <w:rsid w:val="00022992"/>
    <w:rsid w:val="00023B0F"/>
    <w:rsid w:val="000246DD"/>
    <w:rsid w:val="000256DC"/>
    <w:rsid w:val="00027D2D"/>
    <w:rsid w:val="000317A1"/>
    <w:rsid w:val="00032F69"/>
    <w:rsid w:val="0003324E"/>
    <w:rsid w:val="00033D60"/>
    <w:rsid w:val="0003595B"/>
    <w:rsid w:val="0003787A"/>
    <w:rsid w:val="00040A38"/>
    <w:rsid w:val="00040C2D"/>
    <w:rsid w:val="00042B2B"/>
    <w:rsid w:val="0004357F"/>
    <w:rsid w:val="00045E62"/>
    <w:rsid w:val="000520F0"/>
    <w:rsid w:val="00052BC9"/>
    <w:rsid w:val="00053027"/>
    <w:rsid w:val="000558C2"/>
    <w:rsid w:val="00057A95"/>
    <w:rsid w:val="00061A42"/>
    <w:rsid w:val="00062151"/>
    <w:rsid w:val="00062BF8"/>
    <w:rsid w:val="00062CAB"/>
    <w:rsid w:val="00062F19"/>
    <w:rsid w:val="00063187"/>
    <w:rsid w:val="00063417"/>
    <w:rsid w:val="00064E78"/>
    <w:rsid w:val="00065B7B"/>
    <w:rsid w:val="00067C16"/>
    <w:rsid w:val="00067E6E"/>
    <w:rsid w:val="000707EB"/>
    <w:rsid w:val="00071D84"/>
    <w:rsid w:val="00072D75"/>
    <w:rsid w:val="00073557"/>
    <w:rsid w:val="00073C3E"/>
    <w:rsid w:val="00077548"/>
    <w:rsid w:val="0008108F"/>
    <w:rsid w:val="000817B0"/>
    <w:rsid w:val="00082985"/>
    <w:rsid w:val="00083CB1"/>
    <w:rsid w:val="0008537F"/>
    <w:rsid w:val="00090F70"/>
    <w:rsid w:val="000961F3"/>
    <w:rsid w:val="0009625B"/>
    <w:rsid w:val="00096EDD"/>
    <w:rsid w:val="0009720F"/>
    <w:rsid w:val="000A0314"/>
    <w:rsid w:val="000A1128"/>
    <w:rsid w:val="000A12FB"/>
    <w:rsid w:val="000A19D7"/>
    <w:rsid w:val="000A30EC"/>
    <w:rsid w:val="000A3938"/>
    <w:rsid w:val="000A3AAC"/>
    <w:rsid w:val="000A4138"/>
    <w:rsid w:val="000A555B"/>
    <w:rsid w:val="000A55AB"/>
    <w:rsid w:val="000A6635"/>
    <w:rsid w:val="000A707E"/>
    <w:rsid w:val="000B06B1"/>
    <w:rsid w:val="000B0BE0"/>
    <w:rsid w:val="000B1214"/>
    <w:rsid w:val="000B1763"/>
    <w:rsid w:val="000B183D"/>
    <w:rsid w:val="000B2317"/>
    <w:rsid w:val="000B2517"/>
    <w:rsid w:val="000B2F4B"/>
    <w:rsid w:val="000B3374"/>
    <w:rsid w:val="000B700F"/>
    <w:rsid w:val="000C1301"/>
    <w:rsid w:val="000C192D"/>
    <w:rsid w:val="000C3F7E"/>
    <w:rsid w:val="000C42D7"/>
    <w:rsid w:val="000C485C"/>
    <w:rsid w:val="000C48D1"/>
    <w:rsid w:val="000C5497"/>
    <w:rsid w:val="000C5815"/>
    <w:rsid w:val="000C6321"/>
    <w:rsid w:val="000D017B"/>
    <w:rsid w:val="000D0F47"/>
    <w:rsid w:val="000D3B34"/>
    <w:rsid w:val="000D3F83"/>
    <w:rsid w:val="000D465D"/>
    <w:rsid w:val="000D5B7A"/>
    <w:rsid w:val="000D5FD7"/>
    <w:rsid w:val="000D79B2"/>
    <w:rsid w:val="000E0EB5"/>
    <w:rsid w:val="000E1678"/>
    <w:rsid w:val="000E32A7"/>
    <w:rsid w:val="000E37D4"/>
    <w:rsid w:val="000E3AF9"/>
    <w:rsid w:val="000E4E0A"/>
    <w:rsid w:val="000E4EFF"/>
    <w:rsid w:val="000E63DA"/>
    <w:rsid w:val="000E7B40"/>
    <w:rsid w:val="000E7C28"/>
    <w:rsid w:val="000F00BB"/>
    <w:rsid w:val="000F120B"/>
    <w:rsid w:val="000F27A1"/>
    <w:rsid w:val="000F2EA3"/>
    <w:rsid w:val="000F41E8"/>
    <w:rsid w:val="000F5E1B"/>
    <w:rsid w:val="000F65E2"/>
    <w:rsid w:val="000F7073"/>
    <w:rsid w:val="000F7294"/>
    <w:rsid w:val="001001A6"/>
    <w:rsid w:val="001005CB"/>
    <w:rsid w:val="00100E16"/>
    <w:rsid w:val="00101CF6"/>
    <w:rsid w:val="0010227B"/>
    <w:rsid w:val="00102B09"/>
    <w:rsid w:val="00103CD4"/>
    <w:rsid w:val="00103E8F"/>
    <w:rsid w:val="00104408"/>
    <w:rsid w:val="00104E98"/>
    <w:rsid w:val="00107164"/>
    <w:rsid w:val="001074F1"/>
    <w:rsid w:val="00110627"/>
    <w:rsid w:val="0011103C"/>
    <w:rsid w:val="00111F53"/>
    <w:rsid w:val="001122D5"/>
    <w:rsid w:val="001130BE"/>
    <w:rsid w:val="001130F1"/>
    <w:rsid w:val="00113A05"/>
    <w:rsid w:val="00113FB4"/>
    <w:rsid w:val="00114A66"/>
    <w:rsid w:val="00115F33"/>
    <w:rsid w:val="001165E7"/>
    <w:rsid w:val="00117B34"/>
    <w:rsid w:val="00120281"/>
    <w:rsid w:val="00120699"/>
    <w:rsid w:val="001215B4"/>
    <w:rsid w:val="001229CF"/>
    <w:rsid w:val="0012371B"/>
    <w:rsid w:val="00123890"/>
    <w:rsid w:val="0012586D"/>
    <w:rsid w:val="001309A4"/>
    <w:rsid w:val="001312FF"/>
    <w:rsid w:val="00131B6A"/>
    <w:rsid w:val="00133068"/>
    <w:rsid w:val="00133949"/>
    <w:rsid w:val="00133E9C"/>
    <w:rsid w:val="001355CC"/>
    <w:rsid w:val="0013618C"/>
    <w:rsid w:val="00140511"/>
    <w:rsid w:val="00141199"/>
    <w:rsid w:val="00141349"/>
    <w:rsid w:val="00142764"/>
    <w:rsid w:val="00143FF4"/>
    <w:rsid w:val="00144711"/>
    <w:rsid w:val="00144EC4"/>
    <w:rsid w:val="001468F7"/>
    <w:rsid w:val="00150292"/>
    <w:rsid w:val="001506B1"/>
    <w:rsid w:val="00152E30"/>
    <w:rsid w:val="00154DE0"/>
    <w:rsid w:val="00156B85"/>
    <w:rsid w:val="00161542"/>
    <w:rsid w:val="001621F4"/>
    <w:rsid w:val="0016225D"/>
    <w:rsid w:val="001635C9"/>
    <w:rsid w:val="00163972"/>
    <w:rsid w:val="00163F06"/>
    <w:rsid w:val="00164CD8"/>
    <w:rsid w:val="001657F7"/>
    <w:rsid w:val="00166C2B"/>
    <w:rsid w:val="00166DD9"/>
    <w:rsid w:val="001715A1"/>
    <w:rsid w:val="00173040"/>
    <w:rsid w:val="001735A9"/>
    <w:rsid w:val="00173A41"/>
    <w:rsid w:val="001759E5"/>
    <w:rsid w:val="00175A95"/>
    <w:rsid w:val="001772DB"/>
    <w:rsid w:val="00181C1D"/>
    <w:rsid w:val="00184301"/>
    <w:rsid w:val="00185193"/>
    <w:rsid w:val="00185D74"/>
    <w:rsid w:val="001873BD"/>
    <w:rsid w:val="00187C87"/>
    <w:rsid w:val="00191897"/>
    <w:rsid w:val="00192F54"/>
    <w:rsid w:val="0019310B"/>
    <w:rsid w:val="00195D66"/>
    <w:rsid w:val="00195D71"/>
    <w:rsid w:val="001A3BCB"/>
    <w:rsid w:val="001A56F6"/>
    <w:rsid w:val="001A641F"/>
    <w:rsid w:val="001A75E2"/>
    <w:rsid w:val="001A76A1"/>
    <w:rsid w:val="001B0D26"/>
    <w:rsid w:val="001B0F37"/>
    <w:rsid w:val="001B1341"/>
    <w:rsid w:val="001B22FE"/>
    <w:rsid w:val="001B2F2A"/>
    <w:rsid w:val="001B30BE"/>
    <w:rsid w:val="001B46C9"/>
    <w:rsid w:val="001B5B1E"/>
    <w:rsid w:val="001B60ED"/>
    <w:rsid w:val="001C03C8"/>
    <w:rsid w:val="001C0797"/>
    <w:rsid w:val="001C0915"/>
    <w:rsid w:val="001C1016"/>
    <w:rsid w:val="001C247E"/>
    <w:rsid w:val="001C329B"/>
    <w:rsid w:val="001C415B"/>
    <w:rsid w:val="001C4670"/>
    <w:rsid w:val="001C4FD5"/>
    <w:rsid w:val="001C53B9"/>
    <w:rsid w:val="001D0E80"/>
    <w:rsid w:val="001D1671"/>
    <w:rsid w:val="001D2854"/>
    <w:rsid w:val="001D2E07"/>
    <w:rsid w:val="001D3FD8"/>
    <w:rsid w:val="001D49C6"/>
    <w:rsid w:val="001D590C"/>
    <w:rsid w:val="001D6D81"/>
    <w:rsid w:val="001E0B7A"/>
    <w:rsid w:val="001E45FC"/>
    <w:rsid w:val="001E4880"/>
    <w:rsid w:val="001F0836"/>
    <w:rsid w:val="001F1120"/>
    <w:rsid w:val="001F1360"/>
    <w:rsid w:val="001F250D"/>
    <w:rsid w:val="001F347D"/>
    <w:rsid w:val="001F4B10"/>
    <w:rsid w:val="001F77B8"/>
    <w:rsid w:val="001F7A74"/>
    <w:rsid w:val="0020051B"/>
    <w:rsid w:val="0020169C"/>
    <w:rsid w:val="00201715"/>
    <w:rsid w:val="00202447"/>
    <w:rsid w:val="002025C4"/>
    <w:rsid w:val="00203820"/>
    <w:rsid w:val="0020542A"/>
    <w:rsid w:val="0020634A"/>
    <w:rsid w:val="002069A0"/>
    <w:rsid w:val="0021014D"/>
    <w:rsid w:val="0021092F"/>
    <w:rsid w:val="002140C2"/>
    <w:rsid w:val="00215B1A"/>
    <w:rsid w:val="00220A0B"/>
    <w:rsid w:val="00221C13"/>
    <w:rsid w:val="00222C03"/>
    <w:rsid w:val="00222E80"/>
    <w:rsid w:val="00223700"/>
    <w:rsid w:val="00224941"/>
    <w:rsid w:val="00224A5F"/>
    <w:rsid w:val="00227FE7"/>
    <w:rsid w:val="00234ECB"/>
    <w:rsid w:val="00234ED8"/>
    <w:rsid w:val="00237567"/>
    <w:rsid w:val="00237CFE"/>
    <w:rsid w:val="00240D88"/>
    <w:rsid w:val="00241391"/>
    <w:rsid w:val="002418C3"/>
    <w:rsid w:val="00241E50"/>
    <w:rsid w:val="00242010"/>
    <w:rsid w:val="00242531"/>
    <w:rsid w:val="0024458E"/>
    <w:rsid w:val="002445EC"/>
    <w:rsid w:val="002473D7"/>
    <w:rsid w:val="00247D48"/>
    <w:rsid w:val="0025099C"/>
    <w:rsid w:val="002513DE"/>
    <w:rsid w:val="00253A43"/>
    <w:rsid w:val="0025413D"/>
    <w:rsid w:val="0025689B"/>
    <w:rsid w:val="00256D50"/>
    <w:rsid w:val="00260B46"/>
    <w:rsid w:val="00260FCE"/>
    <w:rsid w:val="002621AA"/>
    <w:rsid w:val="00263B59"/>
    <w:rsid w:val="00264AF5"/>
    <w:rsid w:val="002658A6"/>
    <w:rsid w:val="0026680E"/>
    <w:rsid w:val="00267148"/>
    <w:rsid w:val="00270FE3"/>
    <w:rsid w:val="0027119F"/>
    <w:rsid w:val="0027221B"/>
    <w:rsid w:val="002722BC"/>
    <w:rsid w:val="002730BC"/>
    <w:rsid w:val="00275A6E"/>
    <w:rsid w:val="00275EBF"/>
    <w:rsid w:val="00276216"/>
    <w:rsid w:val="002765CF"/>
    <w:rsid w:val="00280141"/>
    <w:rsid w:val="00281560"/>
    <w:rsid w:val="002821AA"/>
    <w:rsid w:val="00283813"/>
    <w:rsid w:val="00284DAF"/>
    <w:rsid w:val="00286FD1"/>
    <w:rsid w:val="00287676"/>
    <w:rsid w:val="00287BC9"/>
    <w:rsid w:val="00287C84"/>
    <w:rsid w:val="00287D00"/>
    <w:rsid w:val="0029107C"/>
    <w:rsid w:val="0029128C"/>
    <w:rsid w:val="00291522"/>
    <w:rsid w:val="0029188C"/>
    <w:rsid w:val="00291E36"/>
    <w:rsid w:val="0029249E"/>
    <w:rsid w:val="00293EF3"/>
    <w:rsid w:val="00294449"/>
    <w:rsid w:val="00294A52"/>
    <w:rsid w:val="0029755A"/>
    <w:rsid w:val="002A01EE"/>
    <w:rsid w:val="002A0960"/>
    <w:rsid w:val="002A1174"/>
    <w:rsid w:val="002A1282"/>
    <w:rsid w:val="002A1797"/>
    <w:rsid w:val="002A1A8F"/>
    <w:rsid w:val="002A1F49"/>
    <w:rsid w:val="002A2471"/>
    <w:rsid w:val="002A2E28"/>
    <w:rsid w:val="002A4ABC"/>
    <w:rsid w:val="002A4C1A"/>
    <w:rsid w:val="002A5538"/>
    <w:rsid w:val="002A595B"/>
    <w:rsid w:val="002B081F"/>
    <w:rsid w:val="002B0A2A"/>
    <w:rsid w:val="002B0ED5"/>
    <w:rsid w:val="002B125D"/>
    <w:rsid w:val="002B1F43"/>
    <w:rsid w:val="002B25F9"/>
    <w:rsid w:val="002B33FC"/>
    <w:rsid w:val="002B6848"/>
    <w:rsid w:val="002C01BD"/>
    <w:rsid w:val="002C04B1"/>
    <w:rsid w:val="002C2092"/>
    <w:rsid w:val="002C2BCB"/>
    <w:rsid w:val="002C38E5"/>
    <w:rsid w:val="002C45EB"/>
    <w:rsid w:val="002C6B9D"/>
    <w:rsid w:val="002C6F27"/>
    <w:rsid w:val="002C6FDF"/>
    <w:rsid w:val="002C726F"/>
    <w:rsid w:val="002C7D81"/>
    <w:rsid w:val="002D0034"/>
    <w:rsid w:val="002D1F78"/>
    <w:rsid w:val="002D31F6"/>
    <w:rsid w:val="002D6DBC"/>
    <w:rsid w:val="002D7DA8"/>
    <w:rsid w:val="002E27AE"/>
    <w:rsid w:val="002E3B6C"/>
    <w:rsid w:val="002E66F2"/>
    <w:rsid w:val="002E6829"/>
    <w:rsid w:val="002E69C0"/>
    <w:rsid w:val="002E6B71"/>
    <w:rsid w:val="002F2025"/>
    <w:rsid w:val="002F2EF4"/>
    <w:rsid w:val="002F3137"/>
    <w:rsid w:val="002F3D53"/>
    <w:rsid w:val="002F4678"/>
    <w:rsid w:val="002F4876"/>
    <w:rsid w:val="002F4DBE"/>
    <w:rsid w:val="00300155"/>
    <w:rsid w:val="00301C3E"/>
    <w:rsid w:val="00304BB1"/>
    <w:rsid w:val="00311018"/>
    <w:rsid w:val="003122C8"/>
    <w:rsid w:val="0031289D"/>
    <w:rsid w:val="00315524"/>
    <w:rsid w:val="00316780"/>
    <w:rsid w:val="0032096F"/>
    <w:rsid w:val="00323946"/>
    <w:rsid w:val="003243E5"/>
    <w:rsid w:val="003245AE"/>
    <w:rsid w:val="00331FFF"/>
    <w:rsid w:val="00334D50"/>
    <w:rsid w:val="003355DE"/>
    <w:rsid w:val="0034281B"/>
    <w:rsid w:val="003429DF"/>
    <w:rsid w:val="00342D13"/>
    <w:rsid w:val="00343CB3"/>
    <w:rsid w:val="00345120"/>
    <w:rsid w:val="003538FC"/>
    <w:rsid w:val="00354293"/>
    <w:rsid w:val="003543B8"/>
    <w:rsid w:val="00356F99"/>
    <w:rsid w:val="00360CF6"/>
    <w:rsid w:val="00361E9F"/>
    <w:rsid w:val="003631CE"/>
    <w:rsid w:val="0036435E"/>
    <w:rsid w:val="0036517B"/>
    <w:rsid w:val="0036538B"/>
    <w:rsid w:val="003663E0"/>
    <w:rsid w:val="00366E7E"/>
    <w:rsid w:val="00367C9D"/>
    <w:rsid w:val="003707AB"/>
    <w:rsid w:val="00371515"/>
    <w:rsid w:val="0037167D"/>
    <w:rsid w:val="0037181F"/>
    <w:rsid w:val="00372BE8"/>
    <w:rsid w:val="003734DC"/>
    <w:rsid w:val="0037469B"/>
    <w:rsid w:val="003760A8"/>
    <w:rsid w:val="00380C00"/>
    <w:rsid w:val="003824A1"/>
    <w:rsid w:val="00385597"/>
    <w:rsid w:val="0038664D"/>
    <w:rsid w:val="00386D89"/>
    <w:rsid w:val="00387494"/>
    <w:rsid w:val="003879D2"/>
    <w:rsid w:val="00387E13"/>
    <w:rsid w:val="00387F56"/>
    <w:rsid w:val="0039494E"/>
    <w:rsid w:val="003951CF"/>
    <w:rsid w:val="00395200"/>
    <w:rsid w:val="00397FE5"/>
    <w:rsid w:val="003A0B92"/>
    <w:rsid w:val="003A2EE7"/>
    <w:rsid w:val="003A2FBC"/>
    <w:rsid w:val="003A4758"/>
    <w:rsid w:val="003A4BF8"/>
    <w:rsid w:val="003A6056"/>
    <w:rsid w:val="003A6E2E"/>
    <w:rsid w:val="003B0470"/>
    <w:rsid w:val="003B0664"/>
    <w:rsid w:val="003B10D0"/>
    <w:rsid w:val="003B2680"/>
    <w:rsid w:val="003B26A1"/>
    <w:rsid w:val="003B2BF1"/>
    <w:rsid w:val="003B495F"/>
    <w:rsid w:val="003B5925"/>
    <w:rsid w:val="003C0F34"/>
    <w:rsid w:val="003C1F56"/>
    <w:rsid w:val="003C2855"/>
    <w:rsid w:val="003C46CF"/>
    <w:rsid w:val="003C479D"/>
    <w:rsid w:val="003C5F7D"/>
    <w:rsid w:val="003C603F"/>
    <w:rsid w:val="003C7953"/>
    <w:rsid w:val="003D12A4"/>
    <w:rsid w:val="003D16CB"/>
    <w:rsid w:val="003D3185"/>
    <w:rsid w:val="003D4B85"/>
    <w:rsid w:val="003E062A"/>
    <w:rsid w:val="003E0B55"/>
    <w:rsid w:val="003E1561"/>
    <w:rsid w:val="003E2184"/>
    <w:rsid w:val="003E2473"/>
    <w:rsid w:val="003E2F16"/>
    <w:rsid w:val="003E46A3"/>
    <w:rsid w:val="003E796C"/>
    <w:rsid w:val="003F05BE"/>
    <w:rsid w:val="003F07F2"/>
    <w:rsid w:val="003F0BF3"/>
    <w:rsid w:val="003F1A4F"/>
    <w:rsid w:val="003F407C"/>
    <w:rsid w:val="003F43A8"/>
    <w:rsid w:val="003F498D"/>
    <w:rsid w:val="003F5145"/>
    <w:rsid w:val="00401084"/>
    <w:rsid w:val="004018F6"/>
    <w:rsid w:val="00403AB3"/>
    <w:rsid w:val="00403FBA"/>
    <w:rsid w:val="004045EC"/>
    <w:rsid w:val="0040518E"/>
    <w:rsid w:val="004070C2"/>
    <w:rsid w:val="00407DAA"/>
    <w:rsid w:val="00414C00"/>
    <w:rsid w:val="00414C53"/>
    <w:rsid w:val="0041598D"/>
    <w:rsid w:val="00416FC4"/>
    <w:rsid w:val="00421DF2"/>
    <w:rsid w:val="00421EA5"/>
    <w:rsid w:val="00422731"/>
    <w:rsid w:val="00422893"/>
    <w:rsid w:val="00424E90"/>
    <w:rsid w:val="00425A54"/>
    <w:rsid w:val="00427433"/>
    <w:rsid w:val="00430FA7"/>
    <w:rsid w:val="0043185E"/>
    <w:rsid w:val="00433552"/>
    <w:rsid w:val="00433D7C"/>
    <w:rsid w:val="004347CF"/>
    <w:rsid w:val="00434F7F"/>
    <w:rsid w:val="00435084"/>
    <w:rsid w:val="00435D8E"/>
    <w:rsid w:val="00436F65"/>
    <w:rsid w:val="00441DBD"/>
    <w:rsid w:val="00444DC1"/>
    <w:rsid w:val="004470D9"/>
    <w:rsid w:val="00447459"/>
    <w:rsid w:val="004516EE"/>
    <w:rsid w:val="0045264E"/>
    <w:rsid w:val="00453238"/>
    <w:rsid w:val="004541F9"/>
    <w:rsid w:val="00457CFE"/>
    <w:rsid w:val="00461AC9"/>
    <w:rsid w:val="00464E4A"/>
    <w:rsid w:val="004657C1"/>
    <w:rsid w:val="00465CA1"/>
    <w:rsid w:val="004677C2"/>
    <w:rsid w:val="0046787C"/>
    <w:rsid w:val="00472103"/>
    <w:rsid w:val="00472123"/>
    <w:rsid w:val="0047296E"/>
    <w:rsid w:val="004743B4"/>
    <w:rsid w:val="004753CF"/>
    <w:rsid w:val="00475793"/>
    <w:rsid w:val="00475C9C"/>
    <w:rsid w:val="00480C9B"/>
    <w:rsid w:val="00481063"/>
    <w:rsid w:val="0048253B"/>
    <w:rsid w:val="00483787"/>
    <w:rsid w:val="00485484"/>
    <w:rsid w:val="00486997"/>
    <w:rsid w:val="004871B4"/>
    <w:rsid w:val="00490856"/>
    <w:rsid w:val="0049095E"/>
    <w:rsid w:val="0049291F"/>
    <w:rsid w:val="004931E7"/>
    <w:rsid w:val="00493446"/>
    <w:rsid w:val="00494E9B"/>
    <w:rsid w:val="004A24E5"/>
    <w:rsid w:val="004A2C16"/>
    <w:rsid w:val="004A3DF4"/>
    <w:rsid w:val="004A4886"/>
    <w:rsid w:val="004A6EFE"/>
    <w:rsid w:val="004A7202"/>
    <w:rsid w:val="004A7491"/>
    <w:rsid w:val="004A74B2"/>
    <w:rsid w:val="004A7D9D"/>
    <w:rsid w:val="004B16CB"/>
    <w:rsid w:val="004B2416"/>
    <w:rsid w:val="004B3626"/>
    <w:rsid w:val="004B369B"/>
    <w:rsid w:val="004B370F"/>
    <w:rsid w:val="004B48BC"/>
    <w:rsid w:val="004C097E"/>
    <w:rsid w:val="004C435F"/>
    <w:rsid w:val="004C4DCA"/>
    <w:rsid w:val="004C511D"/>
    <w:rsid w:val="004C63C0"/>
    <w:rsid w:val="004C7163"/>
    <w:rsid w:val="004D3303"/>
    <w:rsid w:val="004D33E1"/>
    <w:rsid w:val="004D3D21"/>
    <w:rsid w:val="004D56C9"/>
    <w:rsid w:val="004D5E8F"/>
    <w:rsid w:val="004D7976"/>
    <w:rsid w:val="004E19EB"/>
    <w:rsid w:val="004E1BF7"/>
    <w:rsid w:val="004E2937"/>
    <w:rsid w:val="004E51D7"/>
    <w:rsid w:val="004E6CAD"/>
    <w:rsid w:val="004F1E9F"/>
    <w:rsid w:val="004F2E64"/>
    <w:rsid w:val="004F4B16"/>
    <w:rsid w:val="004F5443"/>
    <w:rsid w:val="004F6464"/>
    <w:rsid w:val="004F6A24"/>
    <w:rsid w:val="004F7392"/>
    <w:rsid w:val="004F77DE"/>
    <w:rsid w:val="0050063A"/>
    <w:rsid w:val="00502F9C"/>
    <w:rsid w:val="005059FE"/>
    <w:rsid w:val="00505D9B"/>
    <w:rsid w:val="00506DC5"/>
    <w:rsid w:val="005071C9"/>
    <w:rsid w:val="005072A1"/>
    <w:rsid w:val="005076D4"/>
    <w:rsid w:val="005079A4"/>
    <w:rsid w:val="005112E9"/>
    <w:rsid w:val="0051177A"/>
    <w:rsid w:val="00511C97"/>
    <w:rsid w:val="00512E6A"/>
    <w:rsid w:val="005135FF"/>
    <w:rsid w:val="00513AB5"/>
    <w:rsid w:val="0051640E"/>
    <w:rsid w:val="00517C8A"/>
    <w:rsid w:val="00520A9C"/>
    <w:rsid w:val="00520B5F"/>
    <w:rsid w:val="00521542"/>
    <w:rsid w:val="00524623"/>
    <w:rsid w:val="00526F7F"/>
    <w:rsid w:val="0052747F"/>
    <w:rsid w:val="005305D7"/>
    <w:rsid w:val="005307A7"/>
    <w:rsid w:val="0053095D"/>
    <w:rsid w:val="00530C10"/>
    <w:rsid w:val="00531925"/>
    <w:rsid w:val="005328BC"/>
    <w:rsid w:val="0053336B"/>
    <w:rsid w:val="00534B2C"/>
    <w:rsid w:val="00534E2C"/>
    <w:rsid w:val="00537158"/>
    <w:rsid w:val="005379B3"/>
    <w:rsid w:val="00540CEA"/>
    <w:rsid w:val="00541E10"/>
    <w:rsid w:val="00541E3B"/>
    <w:rsid w:val="00542B85"/>
    <w:rsid w:val="005442FA"/>
    <w:rsid w:val="0054435E"/>
    <w:rsid w:val="00546E37"/>
    <w:rsid w:val="00547B65"/>
    <w:rsid w:val="005502F8"/>
    <w:rsid w:val="00550CF8"/>
    <w:rsid w:val="00551342"/>
    <w:rsid w:val="00551F05"/>
    <w:rsid w:val="00552443"/>
    <w:rsid w:val="00552BB1"/>
    <w:rsid w:val="00553339"/>
    <w:rsid w:val="00553D45"/>
    <w:rsid w:val="00555453"/>
    <w:rsid w:val="00555CD9"/>
    <w:rsid w:val="00557F9C"/>
    <w:rsid w:val="00560274"/>
    <w:rsid w:val="005603C1"/>
    <w:rsid w:val="00560BF0"/>
    <w:rsid w:val="00565942"/>
    <w:rsid w:val="0056638D"/>
    <w:rsid w:val="005669B4"/>
    <w:rsid w:val="0056724B"/>
    <w:rsid w:val="005674EE"/>
    <w:rsid w:val="005701E3"/>
    <w:rsid w:val="00571941"/>
    <w:rsid w:val="00571B15"/>
    <w:rsid w:val="00573F41"/>
    <w:rsid w:val="00574B5B"/>
    <w:rsid w:val="00574C71"/>
    <w:rsid w:val="00575C41"/>
    <w:rsid w:val="00575C47"/>
    <w:rsid w:val="0058049E"/>
    <w:rsid w:val="00582117"/>
    <w:rsid w:val="005833D5"/>
    <w:rsid w:val="00586CD3"/>
    <w:rsid w:val="005876B7"/>
    <w:rsid w:val="00587BC9"/>
    <w:rsid w:val="005906E1"/>
    <w:rsid w:val="005920F8"/>
    <w:rsid w:val="0059358B"/>
    <w:rsid w:val="005940C9"/>
    <w:rsid w:val="005957AC"/>
    <w:rsid w:val="00597168"/>
    <w:rsid w:val="005A032A"/>
    <w:rsid w:val="005A1CB6"/>
    <w:rsid w:val="005A1EF2"/>
    <w:rsid w:val="005A357C"/>
    <w:rsid w:val="005A42F2"/>
    <w:rsid w:val="005A4B97"/>
    <w:rsid w:val="005A4D7A"/>
    <w:rsid w:val="005A517B"/>
    <w:rsid w:val="005A5B50"/>
    <w:rsid w:val="005A63C5"/>
    <w:rsid w:val="005A7508"/>
    <w:rsid w:val="005A7691"/>
    <w:rsid w:val="005B1B10"/>
    <w:rsid w:val="005B2FFC"/>
    <w:rsid w:val="005B4A3D"/>
    <w:rsid w:val="005B565B"/>
    <w:rsid w:val="005C0094"/>
    <w:rsid w:val="005C0EFC"/>
    <w:rsid w:val="005C2673"/>
    <w:rsid w:val="005C3A01"/>
    <w:rsid w:val="005C45C9"/>
    <w:rsid w:val="005C57E4"/>
    <w:rsid w:val="005C6939"/>
    <w:rsid w:val="005C6A17"/>
    <w:rsid w:val="005C7FB3"/>
    <w:rsid w:val="005D0138"/>
    <w:rsid w:val="005D0E0C"/>
    <w:rsid w:val="005D23F1"/>
    <w:rsid w:val="005D3D14"/>
    <w:rsid w:val="005D6D4E"/>
    <w:rsid w:val="005E0444"/>
    <w:rsid w:val="005E087D"/>
    <w:rsid w:val="005E1EB6"/>
    <w:rsid w:val="005E4149"/>
    <w:rsid w:val="005E456C"/>
    <w:rsid w:val="005E7E3D"/>
    <w:rsid w:val="005F09A9"/>
    <w:rsid w:val="005F1003"/>
    <w:rsid w:val="005F2654"/>
    <w:rsid w:val="005F375C"/>
    <w:rsid w:val="005F49CD"/>
    <w:rsid w:val="005F4A1A"/>
    <w:rsid w:val="005F4BAA"/>
    <w:rsid w:val="005F54EB"/>
    <w:rsid w:val="005F5C30"/>
    <w:rsid w:val="005F787A"/>
    <w:rsid w:val="0060088E"/>
    <w:rsid w:val="00601EB4"/>
    <w:rsid w:val="006029F9"/>
    <w:rsid w:val="00602ECA"/>
    <w:rsid w:val="00603A4F"/>
    <w:rsid w:val="00603E04"/>
    <w:rsid w:val="00606179"/>
    <w:rsid w:val="006063EA"/>
    <w:rsid w:val="00612B39"/>
    <w:rsid w:val="00612F2D"/>
    <w:rsid w:val="00614A61"/>
    <w:rsid w:val="00615497"/>
    <w:rsid w:val="00616A8B"/>
    <w:rsid w:val="00617974"/>
    <w:rsid w:val="00617CC4"/>
    <w:rsid w:val="0062113C"/>
    <w:rsid w:val="006211D9"/>
    <w:rsid w:val="00622993"/>
    <w:rsid w:val="00623F8A"/>
    <w:rsid w:val="006247D0"/>
    <w:rsid w:val="006253B2"/>
    <w:rsid w:val="00626218"/>
    <w:rsid w:val="00626EAC"/>
    <w:rsid w:val="0062730A"/>
    <w:rsid w:val="00627771"/>
    <w:rsid w:val="006277AA"/>
    <w:rsid w:val="00630456"/>
    <w:rsid w:val="0063146D"/>
    <w:rsid w:val="006325DE"/>
    <w:rsid w:val="00634696"/>
    <w:rsid w:val="00634C08"/>
    <w:rsid w:val="006362E4"/>
    <w:rsid w:val="0063655B"/>
    <w:rsid w:val="0063711F"/>
    <w:rsid w:val="00637A3C"/>
    <w:rsid w:val="00637EF0"/>
    <w:rsid w:val="00641A5D"/>
    <w:rsid w:val="006421A0"/>
    <w:rsid w:val="0064239E"/>
    <w:rsid w:val="00642CC9"/>
    <w:rsid w:val="00643992"/>
    <w:rsid w:val="006472CC"/>
    <w:rsid w:val="00647744"/>
    <w:rsid w:val="006504C4"/>
    <w:rsid w:val="00652806"/>
    <w:rsid w:val="006532D8"/>
    <w:rsid w:val="00653505"/>
    <w:rsid w:val="00654062"/>
    <w:rsid w:val="006551B6"/>
    <w:rsid w:val="006560CA"/>
    <w:rsid w:val="006627C6"/>
    <w:rsid w:val="00662DE2"/>
    <w:rsid w:val="00662FFE"/>
    <w:rsid w:val="006634F8"/>
    <w:rsid w:val="00663AF7"/>
    <w:rsid w:val="006651B4"/>
    <w:rsid w:val="00665CF0"/>
    <w:rsid w:val="006661AB"/>
    <w:rsid w:val="00666515"/>
    <w:rsid w:val="00666B00"/>
    <w:rsid w:val="0066768B"/>
    <w:rsid w:val="006712B1"/>
    <w:rsid w:val="00671466"/>
    <w:rsid w:val="00672EAE"/>
    <w:rsid w:val="00673C5D"/>
    <w:rsid w:val="00674722"/>
    <w:rsid w:val="00674D1B"/>
    <w:rsid w:val="00676627"/>
    <w:rsid w:val="006769DE"/>
    <w:rsid w:val="00676FCF"/>
    <w:rsid w:val="006812CD"/>
    <w:rsid w:val="00681C61"/>
    <w:rsid w:val="00682022"/>
    <w:rsid w:val="006827D2"/>
    <w:rsid w:val="00682F28"/>
    <w:rsid w:val="0068307C"/>
    <w:rsid w:val="0068340F"/>
    <w:rsid w:val="00683A16"/>
    <w:rsid w:val="00683DC9"/>
    <w:rsid w:val="006842B9"/>
    <w:rsid w:val="006848BC"/>
    <w:rsid w:val="0068498F"/>
    <w:rsid w:val="00685856"/>
    <w:rsid w:val="00687962"/>
    <w:rsid w:val="00687C3A"/>
    <w:rsid w:val="00690532"/>
    <w:rsid w:val="0069166E"/>
    <w:rsid w:val="006A1233"/>
    <w:rsid w:val="006A17D2"/>
    <w:rsid w:val="006A2A03"/>
    <w:rsid w:val="006A3381"/>
    <w:rsid w:val="006A436A"/>
    <w:rsid w:val="006A5B7B"/>
    <w:rsid w:val="006A6006"/>
    <w:rsid w:val="006A673D"/>
    <w:rsid w:val="006B025C"/>
    <w:rsid w:val="006B0438"/>
    <w:rsid w:val="006B395F"/>
    <w:rsid w:val="006B533C"/>
    <w:rsid w:val="006B7C91"/>
    <w:rsid w:val="006B7DE0"/>
    <w:rsid w:val="006B7FDF"/>
    <w:rsid w:val="006C00C1"/>
    <w:rsid w:val="006C0679"/>
    <w:rsid w:val="006C0915"/>
    <w:rsid w:val="006C0AFB"/>
    <w:rsid w:val="006C1AC1"/>
    <w:rsid w:val="006C3730"/>
    <w:rsid w:val="006C7457"/>
    <w:rsid w:val="006D09D8"/>
    <w:rsid w:val="006D0BA0"/>
    <w:rsid w:val="006D1C9C"/>
    <w:rsid w:val="006D2A40"/>
    <w:rsid w:val="006D2DDC"/>
    <w:rsid w:val="006D3643"/>
    <w:rsid w:val="006D4EE7"/>
    <w:rsid w:val="006D7485"/>
    <w:rsid w:val="006D78DC"/>
    <w:rsid w:val="006D7E32"/>
    <w:rsid w:val="006E0191"/>
    <w:rsid w:val="006E02FE"/>
    <w:rsid w:val="006E142D"/>
    <w:rsid w:val="006E3104"/>
    <w:rsid w:val="006E5965"/>
    <w:rsid w:val="006E5ECE"/>
    <w:rsid w:val="006E7FBB"/>
    <w:rsid w:val="006F02D5"/>
    <w:rsid w:val="006F1D54"/>
    <w:rsid w:val="006F2371"/>
    <w:rsid w:val="006F2478"/>
    <w:rsid w:val="006F31D7"/>
    <w:rsid w:val="006F60A1"/>
    <w:rsid w:val="006F7554"/>
    <w:rsid w:val="006F789C"/>
    <w:rsid w:val="0070153E"/>
    <w:rsid w:val="0070288D"/>
    <w:rsid w:val="00702D28"/>
    <w:rsid w:val="00704EDB"/>
    <w:rsid w:val="00705C89"/>
    <w:rsid w:val="00705F72"/>
    <w:rsid w:val="007103E1"/>
    <w:rsid w:val="00711233"/>
    <w:rsid w:val="00711C07"/>
    <w:rsid w:val="0071387F"/>
    <w:rsid w:val="007138BA"/>
    <w:rsid w:val="00714E92"/>
    <w:rsid w:val="00721241"/>
    <w:rsid w:val="00722200"/>
    <w:rsid w:val="00725799"/>
    <w:rsid w:val="00725FBC"/>
    <w:rsid w:val="00727706"/>
    <w:rsid w:val="00732096"/>
    <w:rsid w:val="007328AD"/>
    <w:rsid w:val="007329F4"/>
    <w:rsid w:val="00734FFF"/>
    <w:rsid w:val="00737A7B"/>
    <w:rsid w:val="0074035B"/>
    <w:rsid w:val="00741422"/>
    <w:rsid w:val="00741853"/>
    <w:rsid w:val="007441D1"/>
    <w:rsid w:val="00745790"/>
    <w:rsid w:val="00745871"/>
    <w:rsid w:val="00745CB6"/>
    <w:rsid w:val="00746499"/>
    <w:rsid w:val="0074657A"/>
    <w:rsid w:val="00746C54"/>
    <w:rsid w:val="00747308"/>
    <w:rsid w:val="0075141C"/>
    <w:rsid w:val="00751A80"/>
    <w:rsid w:val="00751C5A"/>
    <w:rsid w:val="00752CA5"/>
    <w:rsid w:val="00753A01"/>
    <w:rsid w:val="00753F56"/>
    <w:rsid w:val="00755D8D"/>
    <w:rsid w:val="00757301"/>
    <w:rsid w:val="00757422"/>
    <w:rsid w:val="00760901"/>
    <w:rsid w:val="007616F5"/>
    <w:rsid w:val="00761E98"/>
    <w:rsid w:val="00764F76"/>
    <w:rsid w:val="007662FC"/>
    <w:rsid w:val="007666F0"/>
    <w:rsid w:val="00767109"/>
    <w:rsid w:val="00767BB7"/>
    <w:rsid w:val="00767E93"/>
    <w:rsid w:val="00770B6D"/>
    <w:rsid w:val="0077172B"/>
    <w:rsid w:val="007720D4"/>
    <w:rsid w:val="00772A4A"/>
    <w:rsid w:val="007739A7"/>
    <w:rsid w:val="00775F36"/>
    <w:rsid w:val="0077688A"/>
    <w:rsid w:val="00777462"/>
    <w:rsid w:val="0078212B"/>
    <w:rsid w:val="0078316A"/>
    <w:rsid w:val="00786686"/>
    <w:rsid w:val="00787908"/>
    <w:rsid w:val="007932CD"/>
    <w:rsid w:val="0079339B"/>
    <w:rsid w:val="00794451"/>
    <w:rsid w:val="00795AAF"/>
    <w:rsid w:val="007978C2"/>
    <w:rsid w:val="007A147B"/>
    <w:rsid w:val="007A1ACD"/>
    <w:rsid w:val="007A2908"/>
    <w:rsid w:val="007A3A51"/>
    <w:rsid w:val="007A6620"/>
    <w:rsid w:val="007B01A5"/>
    <w:rsid w:val="007B3DA9"/>
    <w:rsid w:val="007B5559"/>
    <w:rsid w:val="007B5836"/>
    <w:rsid w:val="007B71F2"/>
    <w:rsid w:val="007B7E39"/>
    <w:rsid w:val="007C0912"/>
    <w:rsid w:val="007C0A4B"/>
    <w:rsid w:val="007C18EA"/>
    <w:rsid w:val="007C1EEE"/>
    <w:rsid w:val="007C2F98"/>
    <w:rsid w:val="007C3620"/>
    <w:rsid w:val="007C37C9"/>
    <w:rsid w:val="007C4D87"/>
    <w:rsid w:val="007C56B3"/>
    <w:rsid w:val="007C5CDB"/>
    <w:rsid w:val="007C70D0"/>
    <w:rsid w:val="007D0BB5"/>
    <w:rsid w:val="007D19DE"/>
    <w:rsid w:val="007D1F05"/>
    <w:rsid w:val="007D751C"/>
    <w:rsid w:val="007E022C"/>
    <w:rsid w:val="007E04B7"/>
    <w:rsid w:val="007E0E94"/>
    <w:rsid w:val="007E2DBC"/>
    <w:rsid w:val="007E3802"/>
    <w:rsid w:val="007E42EA"/>
    <w:rsid w:val="007E4FFF"/>
    <w:rsid w:val="007E521F"/>
    <w:rsid w:val="007F024A"/>
    <w:rsid w:val="007F24F3"/>
    <w:rsid w:val="007F42FC"/>
    <w:rsid w:val="007F5014"/>
    <w:rsid w:val="007F54B8"/>
    <w:rsid w:val="007F63E3"/>
    <w:rsid w:val="007F70F1"/>
    <w:rsid w:val="00800994"/>
    <w:rsid w:val="00801465"/>
    <w:rsid w:val="008024F9"/>
    <w:rsid w:val="00802F4D"/>
    <w:rsid w:val="00803CB8"/>
    <w:rsid w:val="008060B8"/>
    <w:rsid w:val="00810378"/>
    <w:rsid w:val="0081069C"/>
    <w:rsid w:val="00811158"/>
    <w:rsid w:val="00811E93"/>
    <w:rsid w:val="00811EB5"/>
    <w:rsid w:val="0081204D"/>
    <w:rsid w:val="008129BD"/>
    <w:rsid w:val="0081592D"/>
    <w:rsid w:val="00815C0F"/>
    <w:rsid w:val="00815FAE"/>
    <w:rsid w:val="00816548"/>
    <w:rsid w:val="00820113"/>
    <w:rsid w:val="00824FF7"/>
    <w:rsid w:val="008266D4"/>
    <w:rsid w:val="008268AB"/>
    <w:rsid w:val="00826D67"/>
    <w:rsid w:val="00831817"/>
    <w:rsid w:val="00831FCC"/>
    <w:rsid w:val="0083260E"/>
    <w:rsid w:val="00832B02"/>
    <w:rsid w:val="00832E12"/>
    <w:rsid w:val="0083334F"/>
    <w:rsid w:val="00836DEB"/>
    <w:rsid w:val="00837411"/>
    <w:rsid w:val="00837F56"/>
    <w:rsid w:val="00842DEE"/>
    <w:rsid w:val="00844B8B"/>
    <w:rsid w:val="00844BEB"/>
    <w:rsid w:val="0084705B"/>
    <w:rsid w:val="00850D49"/>
    <w:rsid w:val="00853725"/>
    <w:rsid w:val="00853F58"/>
    <w:rsid w:val="008542AC"/>
    <w:rsid w:val="008609CB"/>
    <w:rsid w:val="00860D70"/>
    <w:rsid w:val="00861B37"/>
    <w:rsid w:val="00862452"/>
    <w:rsid w:val="00864C62"/>
    <w:rsid w:val="008656D5"/>
    <w:rsid w:val="00865B92"/>
    <w:rsid w:val="00866B89"/>
    <w:rsid w:val="00866BF9"/>
    <w:rsid w:val="00867056"/>
    <w:rsid w:val="008712B0"/>
    <w:rsid w:val="0087146E"/>
    <w:rsid w:val="00871891"/>
    <w:rsid w:val="00871C33"/>
    <w:rsid w:val="00872795"/>
    <w:rsid w:val="00872C92"/>
    <w:rsid w:val="00873AFC"/>
    <w:rsid w:val="00873F90"/>
    <w:rsid w:val="00877675"/>
    <w:rsid w:val="00880D3F"/>
    <w:rsid w:val="00881F83"/>
    <w:rsid w:val="008836A1"/>
    <w:rsid w:val="00884113"/>
    <w:rsid w:val="00885ACA"/>
    <w:rsid w:val="008902C8"/>
    <w:rsid w:val="00891E1A"/>
    <w:rsid w:val="0089383F"/>
    <w:rsid w:val="008959DC"/>
    <w:rsid w:val="00896670"/>
    <w:rsid w:val="008A083A"/>
    <w:rsid w:val="008A0E00"/>
    <w:rsid w:val="008A240F"/>
    <w:rsid w:val="008A3FEE"/>
    <w:rsid w:val="008A40C2"/>
    <w:rsid w:val="008A6080"/>
    <w:rsid w:val="008A63BD"/>
    <w:rsid w:val="008B0A1F"/>
    <w:rsid w:val="008B0EF2"/>
    <w:rsid w:val="008B1139"/>
    <w:rsid w:val="008B1799"/>
    <w:rsid w:val="008B5814"/>
    <w:rsid w:val="008B6AE0"/>
    <w:rsid w:val="008B7A22"/>
    <w:rsid w:val="008C0F95"/>
    <w:rsid w:val="008C17F8"/>
    <w:rsid w:val="008C2B5C"/>
    <w:rsid w:val="008C37CA"/>
    <w:rsid w:val="008C3E56"/>
    <w:rsid w:val="008C5FD4"/>
    <w:rsid w:val="008C67C1"/>
    <w:rsid w:val="008D33B7"/>
    <w:rsid w:val="008D5C4E"/>
    <w:rsid w:val="008D5EC9"/>
    <w:rsid w:val="008D7055"/>
    <w:rsid w:val="008E3174"/>
    <w:rsid w:val="008E6771"/>
    <w:rsid w:val="008E7563"/>
    <w:rsid w:val="008E7565"/>
    <w:rsid w:val="008E7C63"/>
    <w:rsid w:val="008F243C"/>
    <w:rsid w:val="008F3239"/>
    <w:rsid w:val="008F3387"/>
    <w:rsid w:val="008F68AD"/>
    <w:rsid w:val="008F6FAD"/>
    <w:rsid w:val="00900D27"/>
    <w:rsid w:val="009017F6"/>
    <w:rsid w:val="00902FBE"/>
    <w:rsid w:val="0090622F"/>
    <w:rsid w:val="0091055C"/>
    <w:rsid w:val="0091232A"/>
    <w:rsid w:val="009130A9"/>
    <w:rsid w:val="009155A7"/>
    <w:rsid w:val="00917FAB"/>
    <w:rsid w:val="009214E2"/>
    <w:rsid w:val="00921A5F"/>
    <w:rsid w:val="009234CD"/>
    <w:rsid w:val="00923B7D"/>
    <w:rsid w:val="0092454A"/>
    <w:rsid w:val="00925952"/>
    <w:rsid w:val="00925984"/>
    <w:rsid w:val="00925B28"/>
    <w:rsid w:val="00926B54"/>
    <w:rsid w:val="00926BBE"/>
    <w:rsid w:val="00926BF1"/>
    <w:rsid w:val="00930DE9"/>
    <w:rsid w:val="00932A24"/>
    <w:rsid w:val="0093310F"/>
    <w:rsid w:val="009332D4"/>
    <w:rsid w:val="009337ED"/>
    <w:rsid w:val="00936250"/>
    <w:rsid w:val="009362A1"/>
    <w:rsid w:val="0093721A"/>
    <w:rsid w:val="00937FF5"/>
    <w:rsid w:val="00941D36"/>
    <w:rsid w:val="00941E91"/>
    <w:rsid w:val="00942F88"/>
    <w:rsid w:val="0094369A"/>
    <w:rsid w:val="0094440F"/>
    <w:rsid w:val="00945223"/>
    <w:rsid w:val="00946BE8"/>
    <w:rsid w:val="00947FC5"/>
    <w:rsid w:val="0095056D"/>
    <w:rsid w:val="00950704"/>
    <w:rsid w:val="00950A8B"/>
    <w:rsid w:val="00953584"/>
    <w:rsid w:val="009547E0"/>
    <w:rsid w:val="00955FF7"/>
    <w:rsid w:val="00956B85"/>
    <w:rsid w:val="00956DCD"/>
    <w:rsid w:val="00956FC7"/>
    <w:rsid w:val="00962045"/>
    <w:rsid w:val="009622A1"/>
    <w:rsid w:val="00963051"/>
    <w:rsid w:val="0096424B"/>
    <w:rsid w:val="00965EE6"/>
    <w:rsid w:val="009663B1"/>
    <w:rsid w:val="009667BA"/>
    <w:rsid w:val="009711ED"/>
    <w:rsid w:val="00971D55"/>
    <w:rsid w:val="00972021"/>
    <w:rsid w:val="0097444E"/>
    <w:rsid w:val="00974A56"/>
    <w:rsid w:val="009763B1"/>
    <w:rsid w:val="0097696A"/>
    <w:rsid w:val="00976FB0"/>
    <w:rsid w:val="00977302"/>
    <w:rsid w:val="009776AC"/>
    <w:rsid w:val="00977CC8"/>
    <w:rsid w:val="009805E9"/>
    <w:rsid w:val="009808B2"/>
    <w:rsid w:val="00986183"/>
    <w:rsid w:val="0098735C"/>
    <w:rsid w:val="009915DE"/>
    <w:rsid w:val="00992C27"/>
    <w:rsid w:val="00993BA9"/>
    <w:rsid w:val="00994977"/>
    <w:rsid w:val="009957EF"/>
    <w:rsid w:val="00995C6A"/>
    <w:rsid w:val="00995D93"/>
    <w:rsid w:val="009964CC"/>
    <w:rsid w:val="00997055"/>
    <w:rsid w:val="00997C32"/>
    <w:rsid w:val="009A04F7"/>
    <w:rsid w:val="009A1074"/>
    <w:rsid w:val="009A126D"/>
    <w:rsid w:val="009A1B72"/>
    <w:rsid w:val="009A211E"/>
    <w:rsid w:val="009A25E9"/>
    <w:rsid w:val="009A3278"/>
    <w:rsid w:val="009A3BA9"/>
    <w:rsid w:val="009A5239"/>
    <w:rsid w:val="009A639B"/>
    <w:rsid w:val="009B0269"/>
    <w:rsid w:val="009B095A"/>
    <w:rsid w:val="009B145D"/>
    <w:rsid w:val="009B2F1B"/>
    <w:rsid w:val="009B2F67"/>
    <w:rsid w:val="009B5488"/>
    <w:rsid w:val="009B7645"/>
    <w:rsid w:val="009C1846"/>
    <w:rsid w:val="009C2390"/>
    <w:rsid w:val="009C3792"/>
    <w:rsid w:val="009C383A"/>
    <w:rsid w:val="009C7B95"/>
    <w:rsid w:val="009D09C1"/>
    <w:rsid w:val="009D0A0F"/>
    <w:rsid w:val="009D10B8"/>
    <w:rsid w:val="009D178E"/>
    <w:rsid w:val="009D26F1"/>
    <w:rsid w:val="009D3663"/>
    <w:rsid w:val="009D4812"/>
    <w:rsid w:val="009D4EE7"/>
    <w:rsid w:val="009D4F64"/>
    <w:rsid w:val="009E00E2"/>
    <w:rsid w:val="009E080E"/>
    <w:rsid w:val="009E095B"/>
    <w:rsid w:val="009E16BC"/>
    <w:rsid w:val="009E1790"/>
    <w:rsid w:val="009E2601"/>
    <w:rsid w:val="009E32DD"/>
    <w:rsid w:val="009E5772"/>
    <w:rsid w:val="009E6090"/>
    <w:rsid w:val="009E7101"/>
    <w:rsid w:val="009F011A"/>
    <w:rsid w:val="009F06CF"/>
    <w:rsid w:val="009F0C73"/>
    <w:rsid w:val="009F1608"/>
    <w:rsid w:val="009F1887"/>
    <w:rsid w:val="009F25E7"/>
    <w:rsid w:val="009F2CE1"/>
    <w:rsid w:val="009F3550"/>
    <w:rsid w:val="009F40F7"/>
    <w:rsid w:val="009F602E"/>
    <w:rsid w:val="009F751B"/>
    <w:rsid w:val="00A00581"/>
    <w:rsid w:val="00A00669"/>
    <w:rsid w:val="00A012A6"/>
    <w:rsid w:val="00A041AB"/>
    <w:rsid w:val="00A045E0"/>
    <w:rsid w:val="00A05780"/>
    <w:rsid w:val="00A07A96"/>
    <w:rsid w:val="00A12D05"/>
    <w:rsid w:val="00A12E4C"/>
    <w:rsid w:val="00A177C2"/>
    <w:rsid w:val="00A21136"/>
    <w:rsid w:val="00A224DB"/>
    <w:rsid w:val="00A23A2F"/>
    <w:rsid w:val="00A261FD"/>
    <w:rsid w:val="00A26755"/>
    <w:rsid w:val="00A271F1"/>
    <w:rsid w:val="00A27FF4"/>
    <w:rsid w:val="00A30020"/>
    <w:rsid w:val="00A303BD"/>
    <w:rsid w:val="00A32667"/>
    <w:rsid w:val="00A32CB2"/>
    <w:rsid w:val="00A40CC2"/>
    <w:rsid w:val="00A43B58"/>
    <w:rsid w:val="00A43F15"/>
    <w:rsid w:val="00A45065"/>
    <w:rsid w:val="00A455BF"/>
    <w:rsid w:val="00A45974"/>
    <w:rsid w:val="00A4626E"/>
    <w:rsid w:val="00A46B89"/>
    <w:rsid w:val="00A50DB8"/>
    <w:rsid w:val="00A51322"/>
    <w:rsid w:val="00A52138"/>
    <w:rsid w:val="00A52EF2"/>
    <w:rsid w:val="00A5323C"/>
    <w:rsid w:val="00A572FC"/>
    <w:rsid w:val="00A61F00"/>
    <w:rsid w:val="00A6228C"/>
    <w:rsid w:val="00A637D1"/>
    <w:rsid w:val="00A63A8C"/>
    <w:rsid w:val="00A65C1D"/>
    <w:rsid w:val="00A6676C"/>
    <w:rsid w:val="00A6718A"/>
    <w:rsid w:val="00A67FFC"/>
    <w:rsid w:val="00A72B35"/>
    <w:rsid w:val="00A74247"/>
    <w:rsid w:val="00A74B8A"/>
    <w:rsid w:val="00A802A6"/>
    <w:rsid w:val="00A805FA"/>
    <w:rsid w:val="00A80DCA"/>
    <w:rsid w:val="00A81334"/>
    <w:rsid w:val="00A81CC3"/>
    <w:rsid w:val="00A82373"/>
    <w:rsid w:val="00A83712"/>
    <w:rsid w:val="00A841BC"/>
    <w:rsid w:val="00A85524"/>
    <w:rsid w:val="00A859FC"/>
    <w:rsid w:val="00A86241"/>
    <w:rsid w:val="00A8639C"/>
    <w:rsid w:val="00A86D4D"/>
    <w:rsid w:val="00A876D4"/>
    <w:rsid w:val="00A87A6C"/>
    <w:rsid w:val="00A87E55"/>
    <w:rsid w:val="00A87F0F"/>
    <w:rsid w:val="00A90F92"/>
    <w:rsid w:val="00A91FDE"/>
    <w:rsid w:val="00A9220D"/>
    <w:rsid w:val="00A94FE6"/>
    <w:rsid w:val="00A961C1"/>
    <w:rsid w:val="00A96B7C"/>
    <w:rsid w:val="00A97F2F"/>
    <w:rsid w:val="00AA0AF9"/>
    <w:rsid w:val="00AA1631"/>
    <w:rsid w:val="00AA2C8E"/>
    <w:rsid w:val="00AA388F"/>
    <w:rsid w:val="00AA4ABA"/>
    <w:rsid w:val="00AA4F84"/>
    <w:rsid w:val="00AA669D"/>
    <w:rsid w:val="00AA76A7"/>
    <w:rsid w:val="00AA7E51"/>
    <w:rsid w:val="00AB08E6"/>
    <w:rsid w:val="00AB2021"/>
    <w:rsid w:val="00AB2A07"/>
    <w:rsid w:val="00AB2AEC"/>
    <w:rsid w:val="00AB36E8"/>
    <w:rsid w:val="00AB3B88"/>
    <w:rsid w:val="00AB3B9C"/>
    <w:rsid w:val="00AB5A87"/>
    <w:rsid w:val="00AB5EA6"/>
    <w:rsid w:val="00AB5ECC"/>
    <w:rsid w:val="00AB6349"/>
    <w:rsid w:val="00AB69B2"/>
    <w:rsid w:val="00AC0C17"/>
    <w:rsid w:val="00AC1E4D"/>
    <w:rsid w:val="00AC2317"/>
    <w:rsid w:val="00AC44F8"/>
    <w:rsid w:val="00AC5B41"/>
    <w:rsid w:val="00AC6031"/>
    <w:rsid w:val="00AC7778"/>
    <w:rsid w:val="00AD0B8F"/>
    <w:rsid w:val="00AD12A1"/>
    <w:rsid w:val="00AD3798"/>
    <w:rsid w:val="00AD3D9F"/>
    <w:rsid w:val="00AD64CE"/>
    <w:rsid w:val="00AD6F1A"/>
    <w:rsid w:val="00AD7F9A"/>
    <w:rsid w:val="00AE173E"/>
    <w:rsid w:val="00AE1B8B"/>
    <w:rsid w:val="00AE2680"/>
    <w:rsid w:val="00AE7685"/>
    <w:rsid w:val="00AF1CA7"/>
    <w:rsid w:val="00AF3EE9"/>
    <w:rsid w:val="00AF4F3B"/>
    <w:rsid w:val="00B01223"/>
    <w:rsid w:val="00B01C8F"/>
    <w:rsid w:val="00B01DBB"/>
    <w:rsid w:val="00B04541"/>
    <w:rsid w:val="00B04627"/>
    <w:rsid w:val="00B06332"/>
    <w:rsid w:val="00B07390"/>
    <w:rsid w:val="00B104C9"/>
    <w:rsid w:val="00B12135"/>
    <w:rsid w:val="00B134BF"/>
    <w:rsid w:val="00B161F0"/>
    <w:rsid w:val="00B16E42"/>
    <w:rsid w:val="00B20156"/>
    <w:rsid w:val="00B20B15"/>
    <w:rsid w:val="00B20D25"/>
    <w:rsid w:val="00B20E14"/>
    <w:rsid w:val="00B21999"/>
    <w:rsid w:val="00B236E5"/>
    <w:rsid w:val="00B24472"/>
    <w:rsid w:val="00B306E5"/>
    <w:rsid w:val="00B3362F"/>
    <w:rsid w:val="00B33C26"/>
    <w:rsid w:val="00B34C4E"/>
    <w:rsid w:val="00B36BF3"/>
    <w:rsid w:val="00B40FC9"/>
    <w:rsid w:val="00B41941"/>
    <w:rsid w:val="00B43222"/>
    <w:rsid w:val="00B52466"/>
    <w:rsid w:val="00B5288A"/>
    <w:rsid w:val="00B52DF0"/>
    <w:rsid w:val="00B53199"/>
    <w:rsid w:val="00B53FA4"/>
    <w:rsid w:val="00B54177"/>
    <w:rsid w:val="00B546E4"/>
    <w:rsid w:val="00B54F66"/>
    <w:rsid w:val="00B55233"/>
    <w:rsid w:val="00B5618B"/>
    <w:rsid w:val="00B569CC"/>
    <w:rsid w:val="00B60976"/>
    <w:rsid w:val="00B619ED"/>
    <w:rsid w:val="00B649A8"/>
    <w:rsid w:val="00B64C0A"/>
    <w:rsid w:val="00B65F93"/>
    <w:rsid w:val="00B66B5D"/>
    <w:rsid w:val="00B67095"/>
    <w:rsid w:val="00B712C3"/>
    <w:rsid w:val="00B721CD"/>
    <w:rsid w:val="00B73AA1"/>
    <w:rsid w:val="00B761B7"/>
    <w:rsid w:val="00B76FB6"/>
    <w:rsid w:val="00B7735F"/>
    <w:rsid w:val="00B7752D"/>
    <w:rsid w:val="00B778C0"/>
    <w:rsid w:val="00B800DF"/>
    <w:rsid w:val="00B820A6"/>
    <w:rsid w:val="00B8463D"/>
    <w:rsid w:val="00B85F68"/>
    <w:rsid w:val="00B87E51"/>
    <w:rsid w:val="00B903AA"/>
    <w:rsid w:val="00B916A6"/>
    <w:rsid w:val="00B92ED3"/>
    <w:rsid w:val="00B95FD6"/>
    <w:rsid w:val="00B979BE"/>
    <w:rsid w:val="00BA39B7"/>
    <w:rsid w:val="00BA4246"/>
    <w:rsid w:val="00BA6EFA"/>
    <w:rsid w:val="00BA6FBE"/>
    <w:rsid w:val="00BA70F2"/>
    <w:rsid w:val="00BB0714"/>
    <w:rsid w:val="00BB1121"/>
    <w:rsid w:val="00BB1DCE"/>
    <w:rsid w:val="00BB2E46"/>
    <w:rsid w:val="00BB381F"/>
    <w:rsid w:val="00BB3AD3"/>
    <w:rsid w:val="00BB5132"/>
    <w:rsid w:val="00BB6027"/>
    <w:rsid w:val="00BB6B08"/>
    <w:rsid w:val="00BC26B5"/>
    <w:rsid w:val="00BC2D6A"/>
    <w:rsid w:val="00BC341B"/>
    <w:rsid w:val="00BC468E"/>
    <w:rsid w:val="00BC4E7B"/>
    <w:rsid w:val="00BC533F"/>
    <w:rsid w:val="00BC582F"/>
    <w:rsid w:val="00BD0C17"/>
    <w:rsid w:val="00BD14E6"/>
    <w:rsid w:val="00BD1EB2"/>
    <w:rsid w:val="00BD2BC1"/>
    <w:rsid w:val="00BD3DC8"/>
    <w:rsid w:val="00BD6F44"/>
    <w:rsid w:val="00BE0084"/>
    <w:rsid w:val="00BE1227"/>
    <w:rsid w:val="00BE150D"/>
    <w:rsid w:val="00BE2B1E"/>
    <w:rsid w:val="00BE323B"/>
    <w:rsid w:val="00BE6235"/>
    <w:rsid w:val="00BE69F4"/>
    <w:rsid w:val="00BE6F4B"/>
    <w:rsid w:val="00BF0490"/>
    <w:rsid w:val="00BF1189"/>
    <w:rsid w:val="00BF2E31"/>
    <w:rsid w:val="00BF38B7"/>
    <w:rsid w:val="00BF49BD"/>
    <w:rsid w:val="00C006AB"/>
    <w:rsid w:val="00C01C5D"/>
    <w:rsid w:val="00C0406C"/>
    <w:rsid w:val="00C04653"/>
    <w:rsid w:val="00C04BCB"/>
    <w:rsid w:val="00C05133"/>
    <w:rsid w:val="00C05552"/>
    <w:rsid w:val="00C05F3A"/>
    <w:rsid w:val="00C0757E"/>
    <w:rsid w:val="00C10A0F"/>
    <w:rsid w:val="00C11257"/>
    <w:rsid w:val="00C11CE5"/>
    <w:rsid w:val="00C12B44"/>
    <w:rsid w:val="00C1341E"/>
    <w:rsid w:val="00C143D1"/>
    <w:rsid w:val="00C143F8"/>
    <w:rsid w:val="00C15C3E"/>
    <w:rsid w:val="00C16669"/>
    <w:rsid w:val="00C1774B"/>
    <w:rsid w:val="00C20076"/>
    <w:rsid w:val="00C207B3"/>
    <w:rsid w:val="00C21774"/>
    <w:rsid w:val="00C21EC2"/>
    <w:rsid w:val="00C22151"/>
    <w:rsid w:val="00C239F5"/>
    <w:rsid w:val="00C261BD"/>
    <w:rsid w:val="00C26D25"/>
    <w:rsid w:val="00C26E56"/>
    <w:rsid w:val="00C27287"/>
    <w:rsid w:val="00C27F60"/>
    <w:rsid w:val="00C3273E"/>
    <w:rsid w:val="00C32F27"/>
    <w:rsid w:val="00C3508E"/>
    <w:rsid w:val="00C35308"/>
    <w:rsid w:val="00C368B8"/>
    <w:rsid w:val="00C36A5F"/>
    <w:rsid w:val="00C37142"/>
    <w:rsid w:val="00C37993"/>
    <w:rsid w:val="00C4274E"/>
    <w:rsid w:val="00C42E61"/>
    <w:rsid w:val="00C43448"/>
    <w:rsid w:val="00C45BFE"/>
    <w:rsid w:val="00C45C10"/>
    <w:rsid w:val="00C46314"/>
    <w:rsid w:val="00C464B6"/>
    <w:rsid w:val="00C4664D"/>
    <w:rsid w:val="00C47F3A"/>
    <w:rsid w:val="00C5079E"/>
    <w:rsid w:val="00C531FA"/>
    <w:rsid w:val="00C53BEA"/>
    <w:rsid w:val="00C53DEB"/>
    <w:rsid w:val="00C544EE"/>
    <w:rsid w:val="00C549D6"/>
    <w:rsid w:val="00C54B20"/>
    <w:rsid w:val="00C56801"/>
    <w:rsid w:val="00C56A14"/>
    <w:rsid w:val="00C56B01"/>
    <w:rsid w:val="00C572DC"/>
    <w:rsid w:val="00C57508"/>
    <w:rsid w:val="00C624B2"/>
    <w:rsid w:val="00C638FB"/>
    <w:rsid w:val="00C64444"/>
    <w:rsid w:val="00C64475"/>
    <w:rsid w:val="00C65FC8"/>
    <w:rsid w:val="00C67B85"/>
    <w:rsid w:val="00C709BE"/>
    <w:rsid w:val="00C71C10"/>
    <w:rsid w:val="00C72894"/>
    <w:rsid w:val="00C7399D"/>
    <w:rsid w:val="00C74F84"/>
    <w:rsid w:val="00C75A25"/>
    <w:rsid w:val="00C76233"/>
    <w:rsid w:val="00C82B30"/>
    <w:rsid w:val="00C82F4A"/>
    <w:rsid w:val="00C84B58"/>
    <w:rsid w:val="00C85C84"/>
    <w:rsid w:val="00C85D0A"/>
    <w:rsid w:val="00C87616"/>
    <w:rsid w:val="00C87995"/>
    <w:rsid w:val="00C87BB7"/>
    <w:rsid w:val="00C906A1"/>
    <w:rsid w:val="00C90E6D"/>
    <w:rsid w:val="00C91F4C"/>
    <w:rsid w:val="00C93BCC"/>
    <w:rsid w:val="00C94355"/>
    <w:rsid w:val="00C9580E"/>
    <w:rsid w:val="00CA0263"/>
    <w:rsid w:val="00CA0750"/>
    <w:rsid w:val="00CA0FE9"/>
    <w:rsid w:val="00CA284A"/>
    <w:rsid w:val="00CA3F1F"/>
    <w:rsid w:val="00CA644E"/>
    <w:rsid w:val="00CA64F2"/>
    <w:rsid w:val="00CA668C"/>
    <w:rsid w:val="00CA6DF6"/>
    <w:rsid w:val="00CA7136"/>
    <w:rsid w:val="00CB2456"/>
    <w:rsid w:val="00CB2D64"/>
    <w:rsid w:val="00CB4A01"/>
    <w:rsid w:val="00CB50D9"/>
    <w:rsid w:val="00CB6108"/>
    <w:rsid w:val="00CB6B31"/>
    <w:rsid w:val="00CB759E"/>
    <w:rsid w:val="00CC085D"/>
    <w:rsid w:val="00CC262E"/>
    <w:rsid w:val="00CC2A61"/>
    <w:rsid w:val="00CC2A99"/>
    <w:rsid w:val="00CC4CCA"/>
    <w:rsid w:val="00CC6CCF"/>
    <w:rsid w:val="00CC7258"/>
    <w:rsid w:val="00CC74BD"/>
    <w:rsid w:val="00CD025F"/>
    <w:rsid w:val="00CD03B8"/>
    <w:rsid w:val="00CD04D4"/>
    <w:rsid w:val="00CD06FB"/>
    <w:rsid w:val="00CD3701"/>
    <w:rsid w:val="00CD3A4D"/>
    <w:rsid w:val="00CD76BF"/>
    <w:rsid w:val="00CE04B1"/>
    <w:rsid w:val="00CE26B2"/>
    <w:rsid w:val="00CE426B"/>
    <w:rsid w:val="00CE4CC9"/>
    <w:rsid w:val="00CE611C"/>
    <w:rsid w:val="00CF03D9"/>
    <w:rsid w:val="00CF250C"/>
    <w:rsid w:val="00CF29A3"/>
    <w:rsid w:val="00CF3BE8"/>
    <w:rsid w:val="00CF4488"/>
    <w:rsid w:val="00CF45BB"/>
    <w:rsid w:val="00CF6DCC"/>
    <w:rsid w:val="00CF708A"/>
    <w:rsid w:val="00CF760F"/>
    <w:rsid w:val="00D0016B"/>
    <w:rsid w:val="00D00BCB"/>
    <w:rsid w:val="00D046B3"/>
    <w:rsid w:val="00D047C2"/>
    <w:rsid w:val="00D05FA0"/>
    <w:rsid w:val="00D07218"/>
    <w:rsid w:val="00D104DF"/>
    <w:rsid w:val="00D11326"/>
    <w:rsid w:val="00D11694"/>
    <w:rsid w:val="00D12045"/>
    <w:rsid w:val="00D1347A"/>
    <w:rsid w:val="00D13902"/>
    <w:rsid w:val="00D140AB"/>
    <w:rsid w:val="00D15470"/>
    <w:rsid w:val="00D16A4B"/>
    <w:rsid w:val="00D17E94"/>
    <w:rsid w:val="00D200A7"/>
    <w:rsid w:val="00D20B8C"/>
    <w:rsid w:val="00D210AF"/>
    <w:rsid w:val="00D2119D"/>
    <w:rsid w:val="00D2158C"/>
    <w:rsid w:val="00D22A74"/>
    <w:rsid w:val="00D26A64"/>
    <w:rsid w:val="00D26DE6"/>
    <w:rsid w:val="00D320EC"/>
    <w:rsid w:val="00D343A9"/>
    <w:rsid w:val="00D37A20"/>
    <w:rsid w:val="00D406BF"/>
    <w:rsid w:val="00D40D63"/>
    <w:rsid w:val="00D43CA5"/>
    <w:rsid w:val="00D44953"/>
    <w:rsid w:val="00D456D2"/>
    <w:rsid w:val="00D45BA1"/>
    <w:rsid w:val="00D46B1F"/>
    <w:rsid w:val="00D46E1F"/>
    <w:rsid w:val="00D473DF"/>
    <w:rsid w:val="00D474CD"/>
    <w:rsid w:val="00D47A00"/>
    <w:rsid w:val="00D50BD9"/>
    <w:rsid w:val="00D51189"/>
    <w:rsid w:val="00D51465"/>
    <w:rsid w:val="00D531F2"/>
    <w:rsid w:val="00D53458"/>
    <w:rsid w:val="00D53CA7"/>
    <w:rsid w:val="00D53EC2"/>
    <w:rsid w:val="00D548E5"/>
    <w:rsid w:val="00D56BC3"/>
    <w:rsid w:val="00D56F0B"/>
    <w:rsid w:val="00D57671"/>
    <w:rsid w:val="00D6131E"/>
    <w:rsid w:val="00D621A5"/>
    <w:rsid w:val="00D63909"/>
    <w:rsid w:val="00D70FD6"/>
    <w:rsid w:val="00D71A84"/>
    <w:rsid w:val="00D72A23"/>
    <w:rsid w:val="00D72EA9"/>
    <w:rsid w:val="00D731F8"/>
    <w:rsid w:val="00D7462F"/>
    <w:rsid w:val="00D77E3D"/>
    <w:rsid w:val="00D81F76"/>
    <w:rsid w:val="00D8398F"/>
    <w:rsid w:val="00D839F8"/>
    <w:rsid w:val="00D83CFE"/>
    <w:rsid w:val="00D84380"/>
    <w:rsid w:val="00D8593C"/>
    <w:rsid w:val="00D85B2D"/>
    <w:rsid w:val="00D85F55"/>
    <w:rsid w:val="00D86B23"/>
    <w:rsid w:val="00D87188"/>
    <w:rsid w:val="00D8794C"/>
    <w:rsid w:val="00D90435"/>
    <w:rsid w:val="00D90994"/>
    <w:rsid w:val="00D9147B"/>
    <w:rsid w:val="00D92101"/>
    <w:rsid w:val="00D93367"/>
    <w:rsid w:val="00D93F63"/>
    <w:rsid w:val="00D946A1"/>
    <w:rsid w:val="00D94F1B"/>
    <w:rsid w:val="00D96D0A"/>
    <w:rsid w:val="00D97529"/>
    <w:rsid w:val="00DA155C"/>
    <w:rsid w:val="00DA166D"/>
    <w:rsid w:val="00DA1B90"/>
    <w:rsid w:val="00DA483A"/>
    <w:rsid w:val="00DA5462"/>
    <w:rsid w:val="00DA61E1"/>
    <w:rsid w:val="00DB0CED"/>
    <w:rsid w:val="00DB0F0B"/>
    <w:rsid w:val="00DB2A40"/>
    <w:rsid w:val="00DB55EE"/>
    <w:rsid w:val="00DB585A"/>
    <w:rsid w:val="00DB59F8"/>
    <w:rsid w:val="00DB5CDD"/>
    <w:rsid w:val="00DB65D8"/>
    <w:rsid w:val="00DC0AB1"/>
    <w:rsid w:val="00DC2132"/>
    <w:rsid w:val="00DC2A15"/>
    <w:rsid w:val="00DC436B"/>
    <w:rsid w:val="00DC4C85"/>
    <w:rsid w:val="00DC54E7"/>
    <w:rsid w:val="00DC5BE1"/>
    <w:rsid w:val="00DC6EC9"/>
    <w:rsid w:val="00DC788F"/>
    <w:rsid w:val="00DC7DFA"/>
    <w:rsid w:val="00DD0645"/>
    <w:rsid w:val="00DD3596"/>
    <w:rsid w:val="00DD4834"/>
    <w:rsid w:val="00DD5516"/>
    <w:rsid w:val="00DD5A5E"/>
    <w:rsid w:val="00DD6689"/>
    <w:rsid w:val="00DD78F6"/>
    <w:rsid w:val="00DE0AE8"/>
    <w:rsid w:val="00DE474C"/>
    <w:rsid w:val="00DE4EAF"/>
    <w:rsid w:val="00DE5668"/>
    <w:rsid w:val="00DE7CD8"/>
    <w:rsid w:val="00DF0ABD"/>
    <w:rsid w:val="00DF1891"/>
    <w:rsid w:val="00DF4149"/>
    <w:rsid w:val="00DF74FE"/>
    <w:rsid w:val="00E00B60"/>
    <w:rsid w:val="00E0144F"/>
    <w:rsid w:val="00E024AF"/>
    <w:rsid w:val="00E03D09"/>
    <w:rsid w:val="00E03DF0"/>
    <w:rsid w:val="00E0408D"/>
    <w:rsid w:val="00E04945"/>
    <w:rsid w:val="00E04ED7"/>
    <w:rsid w:val="00E05B1D"/>
    <w:rsid w:val="00E05B8B"/>
    <w:rsid w:val="00E0709F"/>
    <w:rsid w:val="00E077A8"/>
    <w:rsid w:val="00E1005D"/>
    <w:rsid w:val="00E116C6"/>
    <w:rsid w:val="00E1387A"/>
    <w:rsid w:val="00E138B0"/>
    <w:rsid w:val="00E151CD"/>
    <w:rsid w:val="00E20FD0"/>
    <w:rsid w:val="00E23BAA"/>
    <w:rsid w:val="00E24FE2"/>
    <w:rsid w:val="00E2598C"/>
    <w:rsid w:val="00E2685F"/>
    <w:rsid w:val="00E274DC"/>
    <w:rsid w:val="00E27797"/>
    <w:rsid w:val="00E27FA3"/>
    <w:rsid w:val="00E30385"/>
    <w:rsid w:val="00E30CEF"/>
    <w:rsid w:val="00E30D64"/>
    <w:rsid w:val="00E30DC7"/>
    <w:rsid w:val="00E30E97"/>
    <w:rsid w:val="00E33128"/>
    <w:rsid w:val="00E33313"/>
    <w:rsid w:val="00E33E6C"/>
    <w:rsid w:val="00E4506F"/>
    <w:rsid w:val="00E451FB"/>
    <w:rsid w:val="00E45915"/>
    <w:rsid w:val="00E45E9F"/>
    <w:rsid w:val="00E4761C"/>
    <w:rsid w:val="00E47E2B"/>
    <w:rsid w:val="00E50245"/>
    <w:rsid w:val="00E524AE"/>
    <w:rsid w:val="00E52816"/>
    <w:rsid w:val="00E5343F"/>
    <w:rsid w:val="00E55BB1"/>
    <w:rsid w:val="00E56768"/>
    <w:rsid w:val="00E56A1E"/>
    <w:rsid w:val="00E616BF"/>
    <w:rsid w:val="00E61D2A"/>
    <w:rsid w:val="00E61D5F"/>
    <w:rsid w:val="00E62323"/>
    <w:rsid w:val="00E62B92"/>
    <w:rsid w:val="00E64A3E"/>
    <w:rsid w:val="00E64A67"/>
    <w:rsid w:val="00E64D49"/>
    <w:rsid w:val="00E67083"/>
    <w:rsid w:val="00E71429"/>
    <w:rsid w:val="00E71A9F"/>
    <w:rsid w:val="00E72B39"/>
    <w:rsid w:val="00E72E6A"/>
    <w:rsid w:val="00E74CA9"/>
    <w:rsid w:val="00E76035"/>
    <w:rsid w:val="00E76473"/>
    <w:rsid w:val="00E80F78"/>
    <w:rsid w:val="00E80F94"/>
    <w:rsid w:val="00E83738"/>
    <w:rsid w:val="00E8395B"/>
    <w:rsid w:val="00E8444B"/>
    <w:rsid w:val="00E86044"/>
    <w:rsid w:val="00E86FE4"/>
    <w:rsid w:val="00E90EB2"/>
    <w:rsid w:val="00E91A08"/>
    <w:rsid w:val="00E91BB6"/>
    <w:rsid w:val="00E9213F"/>
    <w:rsid w:val="00E93D4C"/>
    <w:rsid w:val="00E93E53"/>
    <w:rsid w:val="00E949FA"/>
    <w:rsid w:val="00E95C6F"/>
    <w:rsid w:val="00E97935"/>
    <w:rsid w:val="00E97A16"/>
    <w:rsid w:val="00EA1678"/>
    <w:rsid w:val="00EA1BB6"/>
    <w:rsid w:val="00EA2108"/>
    <w:rsid w:val="00EA2BC4"/>
    <w:rsid w:val="00EA2F7B"/>
    <w:rsid w:val="00EA414A"/>
    <w:rsid w:val="00EA510D"/>
    <w:rsid w:val="00EA5B54"/>
    <w:rsid w:val="00EA6065"/>
    <w:rsid w:val="00EA68B4"/>
    <w:rsid w:val="00EA6959"/>
    <w:rsid w:val="00EA6DB5"/>
    <w:rsid w:val="00EA76F5"/>
    <w:rsid w:val="00EB7955"/>
    <w:rsid w:val="00EC068B"/>
    <w:rsid w:val="00EC0B19"/>
    <w:rsid w:val="00EC108D"/>
    <w:rsid w:val="00EC3169"/>
    <w:rsid w:val="00EC35B2"/>
    <w:rsid w:val="00EC3A65"/>
    <w:rsid w:val="00EC51CD"/>
    <w:rsid w:val="00EC55D5"/>
    <w:rsid w:val="00ED020A"/>
    <w:rsid w:val="00ED205A"/>
    <w:rsid w:val="00ED2F07"/>
    <w:rsid w:val="00ED5BD5"/>
    <w:rsid w:val="00ED6057"/>
    <w:rsid w:val="00ED6D59"/>
    <w:rsid w:val="00ED7835"/>
    <w:rsid w:val="00EE05D7"/>
    <w:rsid w:val="00EE10B9"/>
    <w:rsid w:val="00EE134C"/>
    <w:rsid w:val="00EE34E8"/>
    <w:rsid w:val="00EE37DA"/>
    <w:rsid w:val="00EE3C21"/>
    <w:rsid w:val="00EE4A8F"/>
    <w:rsid w:val="00EE66E8"/>
    <w:rsid w:val="00EF004C"/>
    <w:rsid w:val="00EF25B9"/>
    <w:rsid w:val="00EF3350"/>
    <w:rsid w:val="00EF51A1"/>
    <w:rsid w:val="00EF56D3"/>
    <w:rsid w:val="00EF59BB"/>
    <w:rsid w:val="00EF5E6A"/>
    <w:rsid w:val="00EF6378"/>
    <w:rsid w:val="00EF7C72"/>
    <w:rsid w:val="00F01148"/>
    <w:rsid w:val="00F0153F"/>
    <w:rsid w:val="00F02959"/>
    <w:rsid w:val="00F02C32"/>
    <w:rsid w:val="00F04EBB"/>
    <w:rsid w:val="00F0560B"/>
    <w:rsid w:val="00F06120"/>
    <w:rsid w:val="00F07036"/>
    <w:rsid w:val="00F07B54"/>
    <w:rsid w:val="00F103E7"/>
    <w:rsid w:val="00F1052D"/>
    <w:rsid w:val="00F11D9A"/>
    <w:rsid w:val="00F152BE"/>
    <w:rsid w:val="00F15422"/>
    <w:rsid w:val="00F15897"/>
    <w:rsid w:val="00F16548"/>
    <w:rsid w:val="00F16726"/>
    <w:rsid w:val="00F16ED6"/>
    <w:rsid w:val="00F179A9"/>
    <w:rsid w:val="00F17FC4"/>
    <w:rsid w:val="00F212AC"/>
    <w:rsid w:val="00F21B5B"/>
    <w:rsid w:val="00F22046"/>
    <w:rsid w:val="00F22CB2"/>
    <w:rsid w:val="00F239A4"/>
    <w:rsid w:val="00F26730"/>
    <w:rsid w:val="00F27A3E"/>
    <w:rsid w:val="00F30C18"/>
    <w:rsid w:val="00F3140C"/>
    <w:rsid w:val="00F33FE3"/>
    <w:rsid w:val="00F355B5"/>
    <w:rsid w:val="00F35755"/>
    <w:rsid w:val="00F367E2"/>
    <w:rsid w:val="00F371C0"/>
    <w:rsid w:val="00F37E94"/>
    <w:rsid w:val="00F40040"/>
    <w:rsid w:val="00F41B2E"/>
    <w:rsid w:val="00F42436"/>
    <w:rsid w:val="00F42525"/>
    <w:rsid w:val="00F42D8E"/>
    <w:rsid w:val="00F4310A"/>
    <w:rsid w:val="00F44986"/>
    <w:rsid w:val="00F52ED6"/>
    <w:rsid w:val="00F54802"/>
    <w:rsid w:val="00F55268"/>
    <w:rsid w:val="00F57355"/>
    <w:rsid w:val="00F601B4"/>
    <w:rsid w:val="00F60599"/>
    <w:rsid w:val="00F60D43"/>
    <w:rsid w:val="00F613E0"/>
    <w:rsid w:val="00F6484C"/>
    <w:rsid w:val="00F65D71"/>
    <w:rsid w:val="00F673B4"/>
    <w:rsid w:val="00F67DCF"/>
    <w:rsid w:val="00F7018C"/>
    <w:rsid w:val="00F71D1E"/>
    <w:rsid w:val="00F727EC"/>
    <w:rsid w:val="00F73116"/>
    <w:rsid w:val="00F744BA"/>
    <w:rsid w:val="00F76CBF"/>
    <w:rsid w:val="00F777A0"/>
    <w:rsid w:val="00F77A27"/>
    <w:rsid w:val="00F80598"/>
    <w:rsid w:val="00F80CAD"/>
    <w:rsid w:val="00F81F9B"/>
    <w:rsid w:val="00F82B9E"/>
    <w:rsid w:val="00F8367A"/>
    <w:rsid w:val="00F8424E"/>
    <w:rsid w:val="00F84805"/>
    <w:rsid w:val="00F84B23"/>
    <w:rsid w:val="00F8556B"/>
    <w:rsid w:val="00F863E5"/>
    <w:rsid w:val="00F87445"/>
    <w:rsid w:val="00F87BC8"/>
    <w:rsid w:val="00F906EA"/>
    <w:rsid w:val="00F907AB"/>
    <w:rsid w:val="00F91321"/>
    <w:rsid w:val="00F96113"/>
    <w:rsid w:val="00FA21D5"/>
    <w:rsid w:val="00FA3A47"/>
    <w:rsid w:val="00FA3CDD"/>
    <w:rsid w:val="00FA3F1C"/>
    <w:rsid w:val="00FA4ADB"/>
    <w:rsid w:val="00FA50B0"/>
    <w:rsid w:val="00FA51D3"/>
    <w:rsid w:val="00FA6B61"/>
    <w:rsid w:val="00FA6DBF"/>
    <w:rsid w:val="00FA70D5"/>
    <w:rsid w:val="00FA75C2"/>
    <w:rsid w:val="00FB3832"/>
    <w:rsid w:val="00FB385F"/>
    <w:rsid w:val="00FB57AE"/>
    <w:rsid w:val="00FB6FF5"/>
    <w:rsid w:val="00FB7721"/>
    <w:rsid w:val="00FB77C7"/>
    <w:rsid w:val="00FB7AA2"/>
    <w:rsid w:val="00FC41D7"/>
    <w:rsid w:val="00FC421A"/>
    <w:rsid w:val="00FC4B3B"/>
    <w:rsid w:val="00FC5C31"/>
    <w:rsid w:val="00FC6E92"/>
    <w:rsid w:val="00FC7BDC"/>
    <w:rsid w:val="00FD144C"/>
    <w:rsid w:val="00FD19B5"/>
    <w:rsid w:val="00FD2336"/>
    <w:rsid w:val="00FD2F63"/>
    <w:rsid w:val="00FD343A"/>
    <w:rsid w:val="00FD47E9"/>
    <w:rsid w:val="00FD4912"/>
    <w:rsid w:val="00FD54D7"/>
    <w:rsid w:val="00FD6A8B"/>
    <w:rsid w:val="00FD6BE2"/>
    <w:rsid w:val="00FD7446"/>
    <w:rsid w:val="00FE0F78"/>
    <w:rsid w:val="00FE3DFF"/>
    <w:rsid w:val="00FE3E48"/>
    <w:rsid w:val="00FE538C"/>
    <w:rsid w:val="00FE7239"/>
    <w:rsid w:val="00FE7EEE"/>
    <w:rsid w:val="00FF06E8"/>
    <w:rsid w:val="00FF4229"/>
    <w:rsid w:val="00FF6BB4"/>
    <w:rsid w:val="00FF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E3978"/>
  <w15:chartTrackingRefBased/>
  <w15:docId w15:val="{E4511752-55E3-4F6E-A8F3-DF77F2E1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6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8656D5"/>
    <w:rPr>
      <w:sz w:val="18"/>
      <w:szCs w:val="18"/>
    </w:rPr>
  </w:style>
  <w:style w:type="paragraph" w:styleId="a5">
    <w:name w:val="footer"/>
    <w:basedOn w:val="a"/>
    <w:link w:val="a6"/>
    <w:uiPriority w:val="99"/>
    <w:unhideWhenUsed/>
    <w:rsid w:val="008656D5"/>
    <w:pPr>
      <w:tabs>
        <w:tab w:val="center" w:pos="4153"/>
        <w:tab w:val="right" w:pos="8306"/>
      </w:tabs>
      <w:snapToGrid w:val="0"/>
      <w:jc w:val="left"/>
    </w:pPr>
    <w:rPr>
      <w:sz w:val="18"/>
      <w:szCs w:val="18"/>
    </w:rPr>
  </w:style>
  <w:style w:type="character" w:customStyle="1" w:styleId="a6">
    <w:name w:val="页脚 字符"/>
    <w:link w:val="a5"/>
    <w:uiPriority w:val="99"/>
    <w:rsid w:val="008656D5"/>
    <w:rPr>
      <w:sz w:val="18"/>
      <w:szCs w:val="18"/>
    </w:rPr>
  </w:style>
  <w:style w:type="paragraph" w:styleId="a7">
    <w:name w:val="List Paragraph"/>
    <w:basedOn w:val="a"/>
    <w:uiPriority w:val="34"/>
    <w:qFormat/>
    <w:rsid w:val="00B7735F"/>
    <w:pPr>
      <w:ind w:firstLineChars="200" w:firstLine="420"/>
    </w:pPr>
  </w:style>
  <w:style w:type="character" w:styleId="a8">
    <w:name w:val="Hyperlink"/>
    <w:uiPriority w:val="99"/>
    <w:unhideWhenUsed/>
    <w:rsid w:val="00E62323"/>
    <w:rPr>
      <w:color w:val="0563C1"/>
      <w:u w:val="single"/>
    </w:rPr>
  </w:style>
  <w:style w:type="character" w:styleId="a9">
    <w:name w:val="Unresolved Mention"/>
    <w:uiPriority w:val="99"/>
    <w:semiHidden/>
    <w:unhideWhenUsed/>
    <w:rsid w:val="00E62323"/>
    <w:rPr>
      <w:color w:val="605E5C"/>
      <w:shd w:val="clear" w:color="auto" w:fill="E1DFDD"/>
    </w:rPr>
  </w:style>
  <w:style w:type="table" w:styleId="aa">
    <w:name w:val="Table Grid"/>
    <w:basedOn w:val="a1"/>
    <w:uiPriority w:val="39"/>
    <w:rsid w:val="00A26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unhideWhenUsed/>
    <w:rsid w:val="00722200"/>
    <w:rPr>
      <w:rFonts w:ascii="Times New Roman" w:eastAsia="Times New Roman" w:hAnsi="Times New Roman"/>
      <w:sz w:val="21"/>
    </w:rPr>
  </w:style>
  <w:style w:type="character" w:styleId="ac">
    <w:name w:val="Strong"/>
    <w:basedOn w:val="a0"/>
    <w:uiPriority w:val="22"/>
    <w:qFormat/>
    <w:rsid w:val="00853725"/>
    <w:rPr>
      <w:b/>
      <w:bCs/>
    </w:rPr>
  </w:style>
  <w:style w:type="paragraph" w:styleId="ad">
    <w:name w:val="Balloon Text"/>
    <w:basedOn w:val="a"/>
    <w:link w:val="ae"/>
    <w:uiPriority w:val="99"/>
    <w:semiHidden/>
    <w:unhideWhenUsed/>
    <w:rsid w:val="008609CB"/>
    <w:rPr>
      <w:sz w:val="18"/>
      <w:szCs w:val="18"/>
    </w:rPr>
  </w:style>
  <w:style w:type="character" w:customStyle="1" w:styleId="ae">
    <w:name w:val="批注框文本 字符"/>
    <w:basedOn w:val="a0"/>
    <w:link w:val="ad"/>
    <w:uiPriority w:val="99"/>
    <w:semiHidden/>
    <w:rsid w:val="008609CB"/>
    <w:rPr>
      <w:kern w:val="2"/>
      <w:sz w:val="18"/>
      <w:szCs w:val="18"/>
    </w:rPr>
  </w:style>
  <w:style w:type="paragraph" w:styleId="af">
    <w:name w:val="annotation text"/>
    <w:basedOn w:val="a"/>
    <w:link w:val="af0"/>
    <w:uiPriority w:val="99"/>
    <w:semiHidden/>
    <w:unhideWhenUsed/>
    <w:rsid w:val="00E45915"/>
    <w:pPr>
      <w:jc w:val="left"/>
    </w:pPr>
  </w:style>
  <w:style w:type="character" w:customStyle="1" w:styleId="af0">
    <w:name w:val="批注文字 字符"/>
    <w:basedOn w:val="a0"/>
    <w:link w:val="af"/>
    <w:uiPriority w:val="99"/>
    <w:semiHidden/>
    <w:rsid w:val="00E45915"/>
    <w:rPr>
      <w:kern w:val="2"/>
      <w:sz w:val="21"/>
      <w:szCs w:val="22"/>
    </w:rPr>
  </w:style>
  <w:style w:type="character" w:styleId="af1">
    <w:name w:val="annotation reference"/>
    <w:basedOn w:val="a0"/>
    <w:uiPriority w:val="99"/>
    <w:semiHidden/>
    <w:unhideWhenUsed/>
    <w:rsid w:val="00E459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659">
      <w:bodyDiv w:val="1"/>
      <w:marLeft w:val="0"/>
      <w:marRight w:val="0"/>
      <w:marTop w:val="0"/>
      <w:marBottom w:val="0"/>
      <w:divBdr>
        <w:top w:val="none" w:sz="0" w:space="0" w:color="auto"/>
        <w:left w:val="none" w:sz="0" w:space="0" w:color="auto"/>
        <w:bottom w:val="none" w:sz="0" w:space="0" w:color="auto"/>
        <w:right w:val="none" w:sz="0" w:space="0" w:color="auto"/>
      </w:divBdr>
      <w:divsChild>
        <w:div w:id="286743785">
          <w:marLeft w:val="0"/>
          <w:marRight w:val="0"/>
          <w:marTop w:val="98"/>
          <w:marBottom w:val="293"/>
          <w:divBdr>
            <w:top w:val="none" w:sz="0" w:space="0" w:color="auto"/>
            <w:left w:val="none" w:sz="0" w:space="0" w:color="auto"/>
            <w:bottom w:val="none" w:sz="0" w:space="0" w:color="auto"/>
            <w:right w:val="none" w:sz="0" w:space="0" w:color="auto"/>
          </w:divBdr>
          <w:divsChild>
            <w:div w:id="1035497936">
              <w:marLeft w:val="0"/>
              <w:marRight w:val="0"/>
              <w:marTop w:val="0"/>
              <w:marBottom w:val="0"/>
              <w:divBdr>
                <w:top w:val="none" w:sz="0" w:space="0" w:color="auto"/>
                <w:left w:val="none" w:sz="0" w:space="0" w:color="auto"/>
                <w:bottom w:val="none" w:sz="0" w:space="0" w:color="auto"/>
                <w:right w:val="none" w:sz="0" w:space="0" w:color="auto"/>
              </w:divBdr>
            </w:div>
            <w:div w:id="15884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7423">
      <w:bodyDiv w:val="1"/>
      <w:marLeft w:val="0"/>
      <w:marRight w:val="0"/>
      <w:marTop w:val="0"/>
      <w:marBottom w:val="0"/>
      <w:divBdr>
        <w:top w:val="none" w:sz="0" w:space="0" w:color="auto"/>
        <w:left w:val="none" w:sz="0" w:space="0" w:color="auto"/>
        <w:bottom w:val="none" w:sz="0" w:space="0" w:color="auto"/>
        <w:right w:val="none" w:sz="0" w:space="0" w:color="auto"/>
      </w:divBdr>
    </w:div>
    <w:div w:id="322512847">
      <w:bodyDiv w:val="1"/>
      <w:marLeft w:val="0"/>
      <w:marRight w:val="0"/>
      <w:marTop w:val="0"/>
      <w:marBottom w:val="0"/>
      <w:divBdr>
        <w:top w:val="none" w:sz="0" w:space="0" w:color="auto"/>
        <w:left w:val="none" w:sz="0" w:space="0" w:color="auto"/>
        <w:bottom w:val="none" w:sz="0" w:space="0" w:color="auto"/>
        <w:right w:val="none" w:sz="0" w:space="0" w:color="auto"/>
      </w:divBdr>
      <w:divsChild>
        <w:div w:id="1864594227">
          <w:marLeft w:val="0"/>
          <w:marRight w:val="0"/>
          <w:marTop w:val="0"/>
          <w:marBottom w:val="0"/>
          <w:divBdr>
            <w:top w:val="none" w:sz="0" w:space="0" w:color="auto"/>
            <w:left w:val="none" w:sz="0" w:space="0" w:color="auto"/>
            <w:bottom w:val="none" w:sz="0" w:space="0" w:color="auto"/>
            <w:right w:val="none" w:sz="0" w:space="0" w:color="auto"/>
          </w:divBdr>
        </w:div>
      </w:divsChild>
    </w:div>
    <w:div w:id="376390500">
      <w:bodyDiv w:val="1"/>
      <w:marLeft w:val="0"/>
      <w:marRight w:val="0"/>
      <w:marTop w:val="0"/>
      <w:marBottom w:val="0"/>
      <w:divBdr>
        <w:top w:val="none" w:sz="0" w:space="0" w:color="auto"/>
        <w:left w:val="none" w:sz="0" w:space="0" w:color="auto"/>
        <w:bottom w:val="none" w:sz="0" w:space="0" w:color="auto"/>
        <w:right w:val="none" w:sz="0" w:space="0" w:color="auto"/>
      </w:divBdr>
      <w:divsChild>
        <w:div w:id="365450750">
          <w:marLeft w:val="0"/>
          <w:marRight w:val="0"/>
          <w:marTop w:val="0"/>
          <w:marBottom w:val="0"/>
          <w:divBdr>
            <w:top w:val="none" w:sz="0" w:space="0" w:color="auto"/>
            <w:left w:val="none" w:sz="0" w:space="0" w:color="auto"/>
            <w:bottom w:val="none" w:sz="0" w:space="0" w:color="auto"/>
            <w:right w:val="none" w:sz="0" w:space="0" w:color="auto"/>
          </w:divBdr>
        </w:div>
      </w:divsChild>
    </w:div>
    <w:div w:id="491529744">
      <w:bodyDiv w:val="1"/>
      <w:marLeft w:val="0"/>
      <w:marRight w:val="0"/>
      <w:marTop w:val="0"/>
      <w:marBottom w:val="0"/>
      <w:divBdr>
        <w:top w:val="none" w:sz="0" w:space="0" w:color="auto"/>
        <w:left w:val="none" w:sz="0" w:space="0" w:color="auto"/>
        <w:bottom w:val="none" w:sz="0" w:space="0" w:color="auto"/>
        <w:right w:val="none" w:sz="0" w:space="0" w:color="auto"/>
      </w:divBdr>
      <w:divsChild>
        <w:div w:id="1561747301">
          <w:marLeft w:val="0"/>
          <w:marRight w:val="0"/>
          <w:marTop w:val="0"/>
          <w:marBottom w:val="75"/>
          <w:divBdr>
            <w:top w:val="none" w:sz="0" w:space="0" w:color="auto"/>
            <w:left w:val="none" w:sz="0" w:space="0" w:color="auto"/>
            <w:bottom w:val="none" w:sz="0" w:space="0" w:color="auto"/>
            <w:right w:val="none" w:sz="0" w:space="0" w:color="auto"/>
          </w:divBdr>
        </w:div>
        <w:div w:id="621151753">
          <w:marLeft w:val="0"/>
          <w:marRight w:val="0"/>
          <w:marTop w:val="0"/>
          <w:marBottom w:val="75"/>
          <w:divBdr>
            <w:top w:val="none" w:sz="0" w:space="0" w:color="auto"/>
            <w:left w:val="none" w:sz="0" w:space="0" w:color="auto"/>
            <w:bottom w:val="none" w:sz="0" w:space="0" w:color="auto"/>
            <w:right w:val="none" w:sz="0" w:space="0" w:color="auto"/>
          </w:divBdr>
        </w:div>
      </w:divsChild>
    </w:div>
    <w:div w:id="722145107">
      <w:bodyDiv w:val="1"/>
      <w:marLeft w:val="0"/>
      <w:marRight w:val="0"/>
      <w:marTop w:val="0"/>
      <w:marBottom w:val="0"/>
      <w:divBdr>
        <w:top w:val="none" w:sz="0" w:space="0" w:color="auto"/>
        <w:left w:val="none" w:sz="0" w:space="0" w:color="auto"/>
        <w:bottom w:val="none" w:sz="0" w:space="0" w:color="auto"/>
        <w:right w:val="none" w:sz="0" w:space="0" w:color="auto"/>
      </w:divBdr>
    </w:div>
    <w:div w:id="884099867">
      <w:bodyDiv w:val="1"/>
      <w:marLeft w:val="0"/>
      <w:marRight w:val="0"/>
      <w:marTop w:val="0"/>
      <w:marBottom w:val="0"/>
      <w:divBdr>
        <w:top w:val="none" w:sz="0" w:space="0" w:color="auto"/>
        <w:left w:val="none" w:sz="0" w:space="0" w:color="auto"/>
        <w:bottom w:val="none" w:sz="0" w:space="0" w:color="auto"/>
        <w:right w:val="none" w:sz="0" w:space="0" w:color="auto"/>
      </w:divBdr>
    </w:div>
    <w:div w:id="983317483">
      <w:bodyDiv w:val="1"/>
      <w:marLeft w:val="0"/>
      <w:marRight w:val="0"/>
      <w:marTop w:val="0"/>
      <w:marBottom w:val="0"/>
      <w:divBdr>
        <w:top w:val="none" w:sz="0" w:space="0" w:color="auto"/>
        <w:left w:val="none" w:sz="0" w:space="0" w:color="auto"/>
        <w:bottom w:val="none" w:sz="0" w:space="0" w:color="auto"/>
        <w:right w:val="none" w:sz="0" w:space="0" w:color="auto"/>
      </w:divBdr>
    </w:div>
    <w:div w:id="1000162609">
      <w:bodyDiv w:val="1"/>
      <w:marLeft w:val="0"/>
      <w:marRight w:val="0"/>
      <w:marTop w:val="0"/>
      <w:marBottom w:val="0"/>
      <w:divBdr>
        <w:top w:val="none" w:sz="0" w:space="0" w:color="auto"/>
        <w:left w:val="none" w:sz="0" w:space="0" w:color="auto"/>
        <w:bottom w:val="none" w:sz="0" w:space="0" w:color="auto"/>
        <w:right w:val="none" w:sz="0" w:space="0" w:color="auto"/>
      </w:divBdr>
    </w:div>
    <w:div w:id="1213885970">
      <w:bodyDiv w:val="1"/>
      <w:marLeft w:val="0"/>
      <w:marRight w:val="0"/>
      <w:marTop w:val="0"/>
      <w:marBottom w:val="0"/>
      <w:divBdr>
        <w:top w:val="none" w:sz="0" w:space="0" w:color="auto"/>
        <w:left w:val="none" w:sz="0" w:space="0" w:color="auto"/>
        <w:bottom w:val="none" w:sz="0" w:space="0" w:color="auto"/>
        <w:right w:val="none" w:sz="0" w:space="0" w:color="auto"/>
      </w:divBdr>
    </w:div>
    <w:div w:id="1276520977">
      <w:bodyDiv w:val="1"/>
      <w:marLeft w:val="0"/>
      <w:marRight w:val="0"/>
      <w:marTop w:val="0"/>
      <w:marBottom w:val="0"/>
      <w:divBdr>
        <w:top w:val="none" w:sz="0" w:space="0" w:color="auto"/>
        <w:left w:val="none" w:sz="0" w:space="0" w:color="auto"/>
        <w:bottom w:val="none" w:sz="0" w:space="0" w:color="auto"/>
        <w:right w:val="none" w:sz="0" w:space="0" w:color="auto"/>
      </w:divBdr>
      <w:divsChild>
        <w:div w:id="932709702">
          <w:marLeft w:val="0"/>
          <w:marRight w:val="0"/>
          <w:marTop w:val="0"/>
          <w:marBottom w:val="0"/>
          <w:divBdr>
            <w:top w:val="none" w:sz="0" w:space="0" w:color="auto"/>
            <w:left w:val="none" w:sz="0" w:space="0" w:color="auto"/>
            <w:bottom w:val="none" w:sz="0" w:space="0" w:color="auto"/>
            <w:right w:val="none" w:sz="0" w:space="0" w:color="auto"/>
          </w:divBdr>
        </w:div>
      </w:divsChild>
    </w:div>
    <w:div w:id="1339889247">
      <w:bodyDiv w:val="1"/>
      <w:marLeft w:val="0"/>
      <w:marRight w:val="0"/>
      <w:marTop w:val="0"/>
      <w:marBottom w:val="0"/>
      <w:divBdr>
        <w:top w:val="none" w:sz="0" w:space="0" w:color="auto"/>
        <w:left w:val="none" w:sz="0" w:space="0" w:color="auto"/>
        <w:bottom w:val="none" w:sz="0" w:space="0" w:color="auto"/>
        <w:right w:val="none" w:sz="0" w:space="0" w:color="auto"/>
      </w:divBdr>
      <w:divsChild>
        <w:div w:id="838733951">
          <w:marLeft w:val="0"/>
          <w:marRight w:val="0"/>
          <w:marTop w:val="0"/>
          <w:marBottom w:val="75"/>
          <w:divBdr>
            <w:top w:val="none" w:sz="0" w:space="0" w:color="auto"/>
            <w:left w:val="none" w:sz="0" w:space="0" w:color="auto"/>
            <w:bottom w:val="none" w:sz="0" w:space="0" w:color="auto"/>
            <w:right w:val="none" w:sz="0" w:space="0" w:color="auto"/>
          </w:divBdr>
        </w:div>
        <w:div w:id="1814718283">
          <w:marLeft w:val="0"/>
          <w:marRight w:val="0"/>
          <w:marTop w:val="0"/>
          <w:marBottom w:val="75"/>
          <w:divBdr>
            <w:top w:val="none" w:sz="0" w:space="0" w:color="auto"/>
            <w:left w:val="none" w:sz="0" w:space="0" w:color="auto"/>
            <w:bottom w:val="none" w:sz="0" w:space="0" w:color="auto"/>
            <w:right w:val="none" w:sz="0" w:space="0" w:color="auto"/>
          </w:divBdr>
        </w:div>
      </w:divsChild>
    </w:div>
    <w:div w:id="1403992828">
      <w:bodyDiv w:val="1"/>
      <w:marLeft w:val="0"/>
      <w:marRight w:val="0"/>
      <w:marTop w:val="0"/>
      <w:marBottom w:val="0"/>
      <w:divBdr>
        <w:top w:val="none" w:sz="0" w:space="0" w:color="auto"/>
        <w:left w:val="none" w:sz="0" w:space="0" w:color="auto"/>
        <w:bottom w:val="none" w:sz="0" w:space="0" w:color="auto"/>
        <w:right w:val="none" w:sz="0" w:space="0" w:color="auto"/>
      </w:divBdr>
    </w:div>
    <w:div w:id="1550679356">
      <w:bodyDiv w:val="1"/>
      <w:marLeft w:val="0"/>
      <w:marRight w:val="0"/>
      <w:marTop w:val="0"/>
      <w:marBottom w:val="0"/>
      <w:divBdr>
        <w:top w:val="none" w:sz="0" w:space="0" w:color="auto"/>
        <w:left w:val="none" w:sz="0" w:space="0" w:color="auto"/>
        <w:bottom w:val="none" w:sz="0" w:space="0" w:color="auto"/>
        <w:right w:val="none" w:sz="0" w:space="0" w:color="auto"/>
      </w:divBdr>
    </w:div>
    <w:div w:id="1604536945">
      <w:bodyDiv w:val="1"/>
      <w:marLeft w:val="0"/>
      <w:marRight w:val="0"/>
      <w:marTop w:val="0"/>
      <w:marBottom w:val="0"/>
      <w:divBdr>
        <w:top w:val="none" w:sz="0" w:space="0" w:color="auto"/>
        <w:left w:val="none" w:sz="0" w:space="0" w:color="auto"/>
        <w:bottom w:val="none" w:sz="0" w:space="0" w:color="auto"/>
        <w:right w:val="none" w:sz="0" w:space="0" w:color="auto"/>
      </w:divBdr>
      <w:divsChild>
        <w:div w:id="1985692145">
          <w:marLeft w:val="0"/>
          <w:marRight w:val="0"/>
          <w:marTop w:val="0"/>
          <w:marBottom w:val="0"/>
          <w:divBdr>
            <w:top w:val="none" w:sz="0" w:space="0" w:color="auto"/>
            <w:left w:val="none" w:sz="0" w:space="0" w:color="auto"/>
            <w:bottom w:val="none" w:sz="0" w:space="0" w:color="auto"/>
            <w:right w:val="none" w:sz="0" w:space="0" w:color="auto"/>
          </w:divBdr>
        </w:div>
      </w:divsChild>
    </w:div>
    <w:div w:id="1617322956">
      <w:bodyDiv w:val="1"/>
      <w:marLeft w:val="0"/>
      <w:marRight w:val="0"/>
      <w:marTop w:val="0"/>
      <w:marBottom w:val="0"/>
      <w:divBdr>
        <w:top w:val="none" w:sz="0" w:space="0" w:color="auto"/>
        <w:left w:val="none" w:sz="0" w:space="0" w:color="auto"/>
        <w:bottom w:val="none" w:sz="0" w:space="0" w:color="auto"/>
        <w:right w:val="none" w:sz="0" w:space="0" w:color="auto"/>
      </w:divBdr>
    </w:div>
    <w:div w:id="1795296316">
      <w:bodyDiv w:val="1"/>
      <w:marLeft w:val="0"/>
      <w:marRight w:val="0"/>
      <w:marTop w:val="0"/>
      <w:marBottom w:val="0"/>
      <w:divBdr>
        <w:top w:val="none" w:sz="0" w:space="0" w:color="auto"/>
        <w:left w:val="none" w:sz="0" w:space="0" w:color="auto"/>
        <w:bottom w:val="none" w:sz="0" w:space="0" w:color="auto"/>
        <w:right w:val="none" w:sz="0" w:space="0" w:color="auto"/>
      </w:divBdr>
      <w:divsChild>
        <w:div w:id="10038364">
          <w:marLeft w:val="0"/>
          <w:marRight w:val="0"/>
          <w:marTop w:val="0"/>
          <w:marBottom w:val="0"/>
          <w:divBdr>
            <w:top w:val="none" w:sz="0" w:space="0" w:color="auto"/>
            <w:left w:val="none" w:sz="0" w:space="0" w:color="auto"/>
            <w:bottom w:val="none" w:sz="0" w:space="0" w:color="auto"/>
            <w:right w:val="none" w:sz="0" w:space="0" w:color="auto"/>
          </w:divBdr>
        </w:div>
      </w:divsChild>
    </w:div>
    <w:div w:id="1885479555">
      <w:bodyDiv w:val="1"/>
      <w:marLeft w:val="0"/>
      <w:marRight w:val="0"/>
      <w:marTop w:val="0"/>
      <w:marBottom w:val="0"/>
      <w:divBdr>
        <w:top w:val="none" w:sz="0" w:space="0" w:color="auto"/>
        <w:left w:val="none" w:sz="0" w:space="0" w:color="auto"/>
        <w:bottom w:val="none" w:sz="0" w:space="0" w:color="auto"/>
        <w:right w:val="none" w:sz="0" w:space="0" w:color="auto"/>
      </w:divBdr>
      <w:divsChild>
        <w:div w:id="1868444191">
          <w:marLeft w:val="0"/>
          <w:marRight w:val="0"/>
          <w:marTop w:val="0"/>
          <w:marBottom w:val="0"/>
          <w:divBdr>
            <w:top w:val="none" w:sz="0" w:space="0" w:color="auto"/>
            <w:left w:val="none" w:sz="0" w:space="0" w:color="auto"/>
            <w:bottom w:val="none" w:sz="0" w:space="0" w:color="auto"/>
            <w:right w:val="none" w:sz="0" w:space="0" w:color="auto"/>
          </w:divBdr>
        </w:div>
      </w:divsChild>
    </w:div>
    <w:div w:id="1905681659">
      <w:bodyDiv w:val="1"/>
      <w:marLeft w:val="0"/>
      <w:marRight w:val="0"/>
      <w:marTop w:val="0"/>
      <w:marBottom w:val="0"/>
      <w:divBdr>
        <w:top w:val="none" w:sz="0" w:space="0" w:color="auto"/>
        <w:left w:val="none" w:sz="0" w:space="0" w:color="auto"/>
        <w:bottom w:val="none" w:sz="0" w:space="0" w:color="auto"/>
        <w:right w:val="none" w:sz="0" w:space="0" w:color="auto"/>
      </w:divBdr>
    </w:div>
    <w:div w:id="2030595747">
      <w:bodyDiv w:val="1"/>
      <w:marLeft w:val="0"/>
      <w:marRight w:val="0"/>
      <w:marTop w:val="0"/>
      <w:marBottom w:val="0"/>
      <w:divBdr>
        <w:top w:val="none" w:sz="0" w:space="0" w:color="auto"/>
        <w:left w:val="none" w:sz="0" w:space="0" w:color="auto"/>
        <w:bottom w:val="none" w:sz="0" w:space="0" w:color="auto"/>
        <w:right w:val="none" w:sz="0" w:space="0" w:color="auto"/>
      </w:divBdr>
      <w:divsChild>
        <w:div w:id="1597012783">
          <w:marLeft w:val="0"/>
          <w:marRight w:val="0"/>
          <w:marTop w:val="98"/>
          <w:marBottom w:val="293"/>
          <w:divBdr>
            <w:top w:val="none" w:sz="0" w:space="0" w:color="auto"/>
            <w:left w:val="none" w:sz="0" w:space="0" w:color="auto"/>
            <w:bottom w:val="none" w:sz="0" w:space="0" w:color="auto"/>
            <w:right w:val="none" w:sz="0" w:space="0" w:color="auto"/>
          </w:divBdr>
          <w:divsChild>
            <w:div w:id="2088961252">
              <w:marLeft w:val="0"/>
              <w:marRight w:val="0"/>
              <w:marTop w:val="0"/>
              <w:marBottom w:val="0"/>
              <w:divBdr>
                <w:top w:val="none" w:sz="0" w:space="0" w:color="auto"/>
                <w:left w:val="none" w:sz="0" w:space="0" w:color="auto"/>
                <w:bottom w:val="none" w:sz="0" w:space="0" w:color="auto"/>
                <w:right w:val="none" w:sz="0" w:space="0" w:color="auto"/>
              </w:divBdr>
            </w:div>
            <w:div w:id="4927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6C5F8-A239-480D-BB4B-DACFAFD7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5024</Words>
  <Characters>28638</Characters>
  <Application>Microsoft Office Word</Application>
  <DocSecurity>0</DocSecurity>
  <Lines>238</Lines>
  <Paragraphs>67</Paragraphs>
  <ScaleCrop>false</ScaleCrop>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 l</dc:creator>
  <cp:keywords/>
  <dc:description/>
  <cp:lastModifiedBy>tt l</cp:lastModifiedBy>
  <cp:revision>3</cp:revision>
  <cp:lastPrinted>2019-08-12T04:19:00Z</cp:lastPrinted>
  <dcterms:created xsi:type="dcterms:W3CDTF">2019-12-19T03:11:00Z</dcterms:created>
  <dcterms:modified xsi:type="dcterms:W3CDTF">2019-12-19T03:11:00Z</dcterms:modified>
</cp:coreProperties>
</file>