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0AC" w:rsidRPr="002500AC" w:rsidRDefault="002500AC" w:rsidP="002500AC">
      <w:pPr>
        <w:pStyle w:val="Heading1"/>
        <w:rPr>
          <w:vertAlign w:val="baseline"/>
        </w:rPr>
      </w:pPr>
      <w:r w:rsidRPr="002500AC">
        <w:rPr>
          <w:vertAlign w:val="baseline"/>
        </w:rPr>
        <w:t>Supplementary Material Table of Contents</w:t>
      </w:r>
    </w:p>
    <w:p w:rsidR="008B103C" w:rsidRPr="002500AC" w:rsidRDefault="008B103C" w:rsidP="008B103C">
      <w:pPr>
        <w:spacing w:after="0" w:line="240" w:lineRule="auto"/>
      </w:pPr>
      <w:r w:rsidRPr="002500AC">
        <w:t xml:space="preserve">Supplementary Table 1. Attributable fractions for risk factors of 1-year mortality, by </w:t>
      </w:r>
      <w:r>
        <w:t>baseline vintage</w:t>
      </w:r>
    </w:p>
    <w:p w:rsidR="002500AC" w:rsidRPr="002500AC" w:rsidRDefault="002500AC" w:rsidP="002500AC">
      <w:pPr>
        <w:spacing w:after="0" w:line="240" w:lineRule="auto"/>
      </w:pPr>
      <w:r w:rsidRPr="002500AC">
        <w:t xml:space="preserve">Supplementary Table </w:t>
      </w:r>
      <w:r w:rsidR="008B103C">
        <w:t>2</w:t>
      </w:r>
      <w:r w:rsidRPr="002500AC">
        <w:t xml:space="preserve">. Attributable fractions for risk factors of 1-year mortality </w:t>
      </w:r>
      <w:r w:rsidR="008B103C">
        <w:t>for</w:t>
      </w:r>
      <w:r w:rsidRPr="002500AC">
        <w:t xml:space="preserve"> incident (&lt; 60 days vintage) patients, by DOPPS phase</w:t>
      </w:r>
    </w:p>
    <w:p w:rsidR="009D0F6E" w:rsidRPr="002500AC" w:rsidRDefault="009D0F6E" w:rsidP="009D0F6E">
      <w:pPr>
        <w:spacing w:after="0" w:line="240" w:lineRule="auto"/>
      </w:pPr>
      <w:r w:rsidRPr="002500AC">
        <w:t xml:space="preserve">Supplementary Table </w:t>
      </w:r>
      <w:r>
        <w:t>3</w:t>
      </w:r>
      <w:r w:rsidRPr="002500AC">
        <w:t xml:space="preserve">. Attributable fractions for risk factors of 1-year mortality </w:t>
      </w:r>
      <w:r>
        <w:t>for</w:t>
      </w:r>
      <w:r w:rsidRPr="002500AC">
        <w:t xml:space="preserve"> incident (&lt; 60 days vintage) patients, by </w:t>
      </w:r>
      <w:r>
        <w:t>race in North America</w:t>
      </w:r>
    </w:p>
    <w:p w:rsidR="002500AC" w:rsidRDefault="002500AC" w:rsidP="002500AC">
      <w:pPr>
        <w:spacing w:after="0" w:line="240" w:lineRule="auto"/>
      </w:pPr>
      <w:r w:rsidRPr="002500AC">
        <w:t xml:space="preserve">Supplementary Table </w:t>
      </w:r>
      <w:r w:rsidR="009D0F6E">
        <w:t>4</w:t>
      </w:r>
      <w:r w:rsidRPr="002500AC">
        <w:t>. Attributable fractions for risk factors of 1-year mortality for incident (&lt;60 days) patients: Impact of CRP inclusion</w:t>
      </w:r>
    </w:p>
    <w:p w:rsidR="00617DA0" w:rsidRDefault="00617DA0" w:rsidP="002500AC">
      <w:pPr>
        <w:spacing w:after="0" w:line="240" w:lineRule="auto"/>
      </w:pPr>
    </w:p>
    <w:p w:rsidR="00617DA0" w:rsidRDefault="00617DA0">
      <w:pPr>
        <w:spacing w:after="160" w:line="259" w:lineRule="auto"/>
      </w:pPr>
      <w:r>
        <w:br w:type="page"/>
      </w:r>
      <w:bookmarkStart w:id="0" w:name="_GoBack"/>
      <w:bookmarkEnd w:id="0"/>
    </w:p>
    <w:p w:rsidR="008B103C" w:rsidRDefault="008B103C" w:rsidP="008B103C">
      <w:pPr>
        <w:pStyle w:val="Heading1"/>
        <w:rPr>
          <w:vertAlign w:val="baseline"/>
        </w:rPr>
      </w:pPr>
      <w:r w:rsidRPr="00DC43D1">
        <w:rPr>
          <w:vertAlign w:val="baseline"/>
        </w:rPr>
        <w:lastRenderedPageBreak/>
        <w:t xml:space="preserve">Supplementary Table 1. Attributable fractions for risk factors of 1-year mortality, by </w:t>
      </w:r>
      <w:r>
        <w:rPr>
          <w:vertAlign w:val="baseline"/>
        </w:rPr>
        <w:t>baseline vintage</w:t>
      </w:r>
    </w:p>
    <w:tbl>
      <w:tblPr>
        <w:tblW w:w="13244" w:type="dxa"/>
        <w:tblLook w:val="04A0" w:firstRow="1" w:lastRow="0" w:firstColumn="1" w:lastColumn="0" w:noHBand="0" w:noVBand="1"/>
      </w:tblPr>
      <w:tblGrid>
        <w:gridCol w:w="2220"/>
        <w:gridCol w:w="567"/>
        <w:gridCol w:w="1567"/>
        <w:gridCol w:w="1366"/>
        <w:gridCol w:w="262"/>
        <w:gridCol w:w="567"/>
        <w:gridCol w:w="1567"/>
        <w:gridCol w:w="1366"/>
        <w:gridCol w:w="262"/>
        <w:gridCol w:w="567"/>
        <w:gridCol w:w="1567"/>
        <w:gridCol w:w="1366"/>
      </w:tblGrid>
      <w:tr w:rsidR="008B103C" w:rsidRPr="008B103C" w:rsidTr="008B103C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Vintage &lt; 60 days (N=15891)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Vintage 60 days - 1 year (N=20738)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Vintage &gt; 1 year (N=51565)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Risk Factor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Catheter 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1.52 (1.37-1.71)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 (17-27%)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1.57 (1.42-1.73)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(15-23%)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1.22 (1.13-1.31)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(2-5%)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Albumin &lt; 3.5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1.51 (1.35-1.68)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(14-24%)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1.72 (1.56-1.91)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20% (16-23%)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1.80 (1.70-1.90)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 (14-17%)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Creatinine &lt; 6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1.32 (1.18-1.48)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12% (7-16%)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1.21 (1.09-1.34)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(3-12%)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1.30 (1.22-1.43)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(4-7%)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Lack of pre-ESRD care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1.38 (1.24-1.56)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(6-12%)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No reported RUV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1.32 (1.18-1.50)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(5-12%)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1.33 (1.18-1.50)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12% (7-17%)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&gt; 160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(0.78-0.99)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(4-12%)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0.96 (0.85-1.08)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 (6-13%)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1.01 (0.93-1.09)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(5-10%)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&lt; 130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1.51 (1.35-1.70)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1.45 (1.32-1.62)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1.37 (1.26-1.43)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&gt; 5.5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1.20 (1.06-1.36)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(2-11%)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1.12 (1.01-1.25)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(2-9%)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1.23 (1.16-1.30)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(5-10%)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&lt; 3.5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1.12 (0.96-1.31)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1.18 (1.03-1.34)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1.12 (1.03-1.22)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&gt; 12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1.04 (0.87-1.27)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(1-11%)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(0.77-0.98)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(1-8%)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0.91 (0.85-0.98)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(1-5%)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&lt; 10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1.14 (1.02-1.29)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1.37 (1.22-1.53)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1.28 (1.18-1.36)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WBC count &gt; 10,000/</w:t>
            </w:r>
            <w:proofErr w:type="spellStart"/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μL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1.30 (1.17-1.46)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(3-8%)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1.25 (1.11-1.42)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(1-5%)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1.31 (1.21-1.43)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(2-4%)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Ferritin &gt; 800 ng/mL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1.35 (1.14-1.63)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2% (1-4%)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1.28 (1.13-1.45)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(2-5%)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1.07 (0.99-1.14)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1% (0-3%)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&gt; 9.5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1.09 (0.92-1.27)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1.11 (0.98-1.27)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(0-6%)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1.14 (1.06-1.21)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(3-8%)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&lt; 8.4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0.96 (0.86-1.08)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1.05 (0.93-1.19)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1.15 (1.06-1.26)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&gt; 300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0.88 (0.76-1.01)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1.00 (0.88-1.13)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(0-6%)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1.11 (1.03-1.19)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(2-9%)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&lt; 150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0.92 (0.77-1.04)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1.00 (0.91-1.13)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1.07 (0.99-1.14)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Combined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Malnutrition*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29% (23-35%)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 (21-31%)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20% (18-22%)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Inflammation*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(5-10%)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(4-9%)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(2-6%)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MBD abnormality*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(0-10%)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(0-15%)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17% (13-21%)</w:t>
            </w:r>
          </w:p>
        </w:tc>
      </w:tr>
      <w:tr w:rsidR="008B103C" w:rsidRPr="008B103C" w:rsidTr="008B103C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All risk factors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65% (59-71%)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62% (56-67%)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103C" w:rsidRPr="008B103C" w:rsidRDefault="008B103C" w:rsidP="008B1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8B10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46% (41-50%)</w:t>
            </w:r>
          </w:p>
        </w:tc>
      </w:tr>
    </w:tbl>
    <w:p w:rsidR="008B103C" w:rsidRDefault="008B103C" w:rsidP="008B103C">
      <w:pPr>
        <w:pStyle w:val="NoSpacing"/>
        <w:rPr>
          <w:sz w:val="20"/>
        </w:rPr>
      </w:pPr>
      <w:r w:rsidRPr="00F1305B">
        <w:rPr>
          <w:sz w:val="20"/>
        </w:rPr>
        <w:t>Cox models</w:t>
      </w:r>
      <w:r>
        <w:rPr>
          <w:sz w:val="20"/>
        </w:rPr>
        <w:t xml:space="preserve"> for 12 risk factors chosen </w:t>
      </w:r>
      <w:r w:rsidRPr="001528C8">
        <w:rPr>
          <w:i/>
          <w:sz w:val="20"/>
        </w:rPr>
        <w:t>a priori</w:t>
      </w:r>
      <w:r>
        <w:rPr>
          <w:sz w:val="20"/>
        </w:rPr>
        <w:t>, stratified by DOPPS phase and country, a</w:t>
      </w:r>
      <w:r w:rsidRPr="00F1305B">
        <w:rPr>
          <w:sz w:val="20"/>
        </w:rPr>
        <w:t xml:space="preserve">djusted for all other variables in table, plus age, </w:t>
      </w:r>
      <w:r>
        <w:rPr>
          <w:sz w:val="20"/>
        </w:rPr>
        <w:t>sex</w:t>
      </w:r>
      <w:r w:rsidRPr="00F1305B">
        <w:rPr>
          <w:sz w:val="20"/>
        </w:rPr>
        <w:t>, black race, BMI, and 12 comorbidities listed in Table 1</w:t>
      </w:r>
      <w:r>
        <w:rPr>
          <w:sz w:val="20"/>
        </w:rPr>
        <w:t xml:space="preserve">; </w:t>
      </w:r>
      <w:r w:rsidRPr="00F1305B">
        <w:rPr>
          <w:sz w:val="20"/>
        </w:rPr>
        <w:t xml:space="preserve">HR=Hazard Ratio of 1 year mortality; </w:t>
      </w:r>
      <w:r>
        <w:rPr>
          <w:sz w:val="20"/>
        </w:rPr>
        <w:t>AF</w:t>
      </w:r>
      <w:r w:rsidRPr="00F1305B">
        <w:rPr>
          <w:sz w:val="20"/>
        </w:rPr>
        <w:t xml:space="preserve">=Attributable Fraction; ESRD=end-stage renal disease; SBP=systolic blood pressure; WBC=white blood cell; MBD=mineral and bone disorder; </w:t>
      </w:r>
      <w:r>
        <w:rPr>
          <w:sz w:val="20"/>
        </w:rPr>
        <w:t>RUV</w:t>
      </w:r>
      <w:r w:rsidRPr="00F1305B">
        <w:rPr>
          <w:sz w:val="20"/>
        </w:rPr>
        <w:t>=residual</w:t>
      </w:r>
      <w:r>
        <w:rPr>
          <w:sz w:val="20"/>
        </w:rPr>
        <w:t xml:space="preserve"> urine volume; </w:t>
      </w:r>
      <w:r w:rsidRPr="00F1305B">
        <w:rPr>
          <w:sz w:val="20"/>
        </w:rPr>
        <w:t>*</w:t>
      </w:r>
      <w:r>
        <w:rPr>
          <w:sz w:val="20"/>
        </w:rPr>
        <w:t>Maln</w:t>
      </w:r>
      <w:r w:rsidRPr="00F1305B">
        <w:rPr>
          <w:sz w:val="20"/>
        </w:rPr>
        <w:t>utrition variables include low albumin and low creatinine; Inflammation variables include high WBC and high ferritin; MBD variables include high or low calcium, phosphorus and PTH</w:t>
      </w:r>
      <w:r>
        <w:rPr>
          <w:sz w:val="20"/>
        </w:rPr>
        <w:t xml:space="preserve">; </w:t>
      </w:r>
      <w:r w:rsidRPr="00F1305B">
        <w:rPr>
          <w:sz w:val="20"/>
        </w:rPr>
        <w:t>Note pre-ESRD care data w</w:t>
      </w:r>
      <w:r>
        <w:rPr>
          <w:sz w:val="20"/>
        </w:rPr>
        <w:t xml:space="preserve">ere </w:t>
      </w:r>
      <w:r w:rsidRPr="00F1305B">
        <w:rPr>
          <w:sz w:val="20"/>
        </w:rPr>
        <w:t xml:space="preserve">only available for incident patients and </w:t>
      </w:r>
      <w:r>
        <w:rPr>
          <w:sz w:val="20"/>
        </w:rPr>
        <w:t>RUV</w:t>
      </w:r>
      <w:r w:rsidRPr="00F1305B">
        <w:rPr>
          <w:sz w:val="20"/>
        </w:rPr>
        <w:t xml:space="preserve"> was assumed to be minimal for patients on dialysis &gt; 1 year</w:t>
      </w:r>
      <w:r>
        <w:rPr>
          <w:sz w:val="20"/>
        </w:rPr>
        <w:t xml:space="preserve">; </w:t>
      </w:r>
      <w:r w:rsidRPr="00BF40F6">
        <w:rPr>
          <w:sz w:val="20"/>
        </w:rPr>
        <w:t xml:space="preserve">95% CI: 2.5th and 97.5th percentiles from </w:t>
      </w:r>
      <w:r>
        <w:rPr>
          <w:sz w:val="20"/>
        </w:rPr>
        <w:t>1000 runs: 1</w:t>
      </w:r>
      <w:r w:rsidRPr="00BF40F6">
        <w:rPr>
          <w:sz w:val="20"/>
        </w:rPr>
        <w:t xml:space="preserve">00 bootstrapped samples combined across </w:t>
      </w:r>
      <w:r>
        <w:rPr>
          <w:sz w:val="20"/>
        </w:rPr>
        <w:t>10</w:t>
      </w:r>
      <w:r w:rsidRPr="00BF40F6">
        <w:rPr>
          <w:sz w:val="20"/>
        </w:rPr>
        <w:t xml:space="preserve"> imputations</w:t>
      </w:r>
      <w:r w:rsidR="00211846">
        <w:rPr>
          <w:sz w:val="20"/>
        </w:rPr>
        <w:t xml:space="preserve">; </w:t>
      </w:r>
      <w:r w:rsidR="00211846" w:rsidRPr="00211846">
        <w:rPr>
          <w:sz w:val="20"/>
        </w:rPr>
        <w:t>Negative values of AF could be obtained when the observed HR was less than 1, and we report the negative AFs and/or CI bounds as 0% to convey that no excess mortality risk was attributable to the exposure</w:t>
      </w:r>
    </w:p>
    <w:p w:rsidR="008B103C" w:rsidRPr="008B103C" w:rsidRDefault="008B103C" w:rsidP="008B103C"/>
    <w:p w:rsidR="00617DA0" w:rsidRDefault="00617DA0" w:rsidP="00617DA0">
      <w:pPr>
        <w:pStyle w:val="NoSpacing"/>
      </w:pPr>
      <w:r>
        <w:br w:type="page"/>
      </w:r>
    </w:p>
    <w:p w:rsidR="00DC43D1" w:rsidRPr="00DC43D1" w:rsidRDefault="00DC43D1" w:rsidP="00DC43D1">
      <w:pPr>
        <w:pStyle w:val="Heading1"/>
        <w:rPr>
          <w:vertAlign w:val="baseline"/>
        </w:rPr>
      </w:pPr>
      <w:r w:rsidRPr="00DC43D1">
        <w:rPr>
          <w:vertAlign w:val="baseline"/>
        </w:rPr>
        <w:lastRenderedPageBreak/>
        <w:t xml:space="preserve">Supplementary Table </w:t>
      </w:r>
      <w:r w:rsidR="008B103C">
        <w:rPr>
          <w:vertAlign w:val="baseline"/>
        </w:rPr>
        <w:t>2</w:t>
      </w:r>
      <w:r w:rsidRPr="00DC43D1">
        <w:rPr>
          <w:vertAlign w:val="baseline"/>
        </w:rPr>
        <w:t>. Attributable fractions for risk factors of 1-year mortality among incident (&lt; 60 days vintage) patients, by DOPPS phase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220"/>
        <w:gridCol w:w="567"/>
        <w:gridCol w:w="1567"/>
        <w:gridCol w:w="1366"/>
        <w:gridCol w:w="262"/>
        <w:gridCol w:w="567"/>
        <w:gridCol w:w="1567"/>
        <w:gridCol w:w="1366"/>
      </w:tblGrid>
      <w:tr w:rsidR="00DC43D1" w:rsidRPr="007A0A3C" w:rsidTr="00017034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Phase 1-2, 1996-2004 (N=9580)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Phase 3-5, 2005-2015 (N=6311)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Risk Factor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Catheter 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1.46 (1.26-1.70)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(12-27%)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1.74 (1.41-2.13)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29% (19-38%)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Albumin &lt; 3.5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1.49 (1.26-1.71)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(11-25%)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1.55 (1.25-1.92)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20% (10-29%)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Creatinine &lt; 6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1.32 (1.15-1.52)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 (5-15%)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1.35 (1.08-1.70)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 (4-26%)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Lack of pre-ESRD care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1.35 (1.18-1.57)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(4-12%)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1.49 (1.22-1.85)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 (6-18%)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No reported RUV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1.37 (1.19-1.57)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(5-13%)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1.25 (0.98-1.51)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(0-15%)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&gt; 160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(0.74-1.00)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(1-11%)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0.88 (0.68-1.14)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 (4-19%)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&lt; 130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1.48 (1.29-1.70)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1.60 (1.30-1.95)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&gt; 5.5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1.25 (1.07-1.44)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(3-15%)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1.13 (0.88-1.43)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(0-9%)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&lt; 3.5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1.21 (0.98-1.48)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1.01 (0.79-1.25)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&gt; 12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1.13 (0.89-1.39)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(0.59-1.19)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(0-18%)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&lt; 10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1.10 (0.97-1.24)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1.30 (1.05-1.57)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WBC count &gt; 10,000/</w:t>
            </w:r>
            <w:proofErr w:type="spellStart"/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μL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1.30 (1.13-1.48)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(3-8%)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1.28 (0.98-1.59)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(0-7%)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Ferritin &gt; 800 ng/mL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1.22 (0.93-1.60)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1% (0-3%)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1.62 (1.24-2.10)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(2-9%)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&gt; 9.5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1.08 (0.87-1.31)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1.11 (0.80-1.51)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(0-6%)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&lt; 8.4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0.98 (0.86-1.13)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0.92 (0.75-1.14)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&gt; 300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0.95 (0.81-1.15)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(0-8%)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0.76 (0.59-0.95)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(0-0%)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&lt; 150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37%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1.01 (0.85-1.17)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0.72 (0.58-0.91)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Combined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Malnutrition*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28% (20-34%)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32% (22-42%)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Inflammation*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(3-10%)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(5-14%)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MBD abnormality*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(0-20%)</w:t>
            </w:r>
          </w:p>
        </w:tc>
        <w:tc>
          <w:tcPr>
            <w:tcW w:w="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(0-0%)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All risk factors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65% (57-72%)</w:t>
            </w:r>
          </w:p>
        </w:tc>
        <w:tc>
          <w:tcPr>
            <w:tcW w:w="26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68% (56-76%)</w:t>
            </w:r>
          </w:p>
        </w:tc>
      </w:tr>
    </w:tbl>
    <w:p w:rsidR="00DC43D1" w:rsidRDefault="00DC43D1" w:rsidP="00DC43D1">
      <w:pPr>
        <w:pStyle w:val="NoSpacing"/>
        <w:rPr>
          <w:sz w:val="20"/>
        </w:rPr>
      </w:pPr>
      <w:r w:rsidRPr="00F1305B">
        <w:rPr>
          <w:sz w:val="20"/>
        </w:rPr>
        <w:t xml:space="preserve">Cox models </w:t>
      </w:r>
      <w:r>
        <w:rPr>
          <w:sz w:val="20"/>
        </w:rPr>
        <w:t xml:space="preserve">stratified by DOPPS phase and country, </w:t>
      </w:r>
      <w:r w:rsidRPr="00F1305B">
        <w:rPr>
          <w:sz w:val="20"/>
        </w:rPr>
        <w:t xml:space="preserve">adjusted for all other variables in table, plus age, </w:t>
      </w:r>
      <w:r>
        <w:rPr>
          <w:sz w:val="20"/>
        </w:rPr>
        <w:t>sex</w:t>
      </w:r>
      <w:r w:rsidRPr="00F1305B">
        <w:rPr>
          <w:sz w:val="20"/>
        </w:rPr>
        <w:t>, black race, BMI, and 12 comorbidities listed in Table 1</w:t>
      </w:r>
      <w:r>
        <w:rPr>
          <w:sz w:val="20"/>
        </w:rPr>
        <w:t xml:space="preserve">; </w:t>
      </w:r>
      <w:r w:rsidRPr="00F1305B">
        <w:rPr>
          <w:sz w:val="20"/>
        </w:rPr>
        <w:t xml:space="preserve">HR=Hazard Ratio of 1 year mortality; </w:t>
      </w:r>
      <w:r>
        <w:rPr>
          <w:sz w:val="20"/>
        </w:rPr>
        <w:t>AF</w:t>
      </w:r>
      <w:r w:rsidRPr="00F1305B">
        <w:rPr>
          <w:sz w:val="20"/>
        </w:rPr>
        <w:t xml:space="preserve">=Attributable Fraction; ESRD=end-stage renal disease; SBP=systolic blood pressure; WBC=white blood cell; MBD=mineral and bone disorder; </w:t>
      </w:r>
      <w:r>
        <w:rPr>
          <w:sz w:val="20"/>
        </w:rPr>
        <w:t>RUV</w:t>
      </w:r>
      <w:r w:rsidRPr="00F1305B">
        <w:rPr>
          <w:sz w:val="20"/>
        </w:rPr>
        <w:t>=</w:t>
      </w:r>
      <w:r w:rsidRPr="00611827">
        <w:t xml:space="preserve"> </w:t>
      </w:r>
      <w:r w:rsidRPr="00611827">
        <w:rPr>
          <w:sz w:val="20"/>
        </w:rPr>
        <w:t>residual urine volume</w:t>
      </w:r>
      <w:r>
        <w:rPr>
          <w:sz w:val="20"/>
        </w:rPr>
        <w:t xml:space="preserve">; </w:t>
      </w:r>
      <w:r w:rsidRPr="00F1305B">
        <w:rPr>
          <w:sz w:val="20"/>
        </w:rPr>
        <w:t>*</w:t>
      </w:r>
      <w:r>
        <w:rPr>
          <w:sz w:val="20"/>
        </w:rPr>
        <w:t>Malnutrition</w:t>
      </w:r>
      <w:r w:rsidRPr="00F1305B">
        <w:rPr>
          <w:sz w:val="20"/>
        </w:rPr>
        <w:t xml:space="preserve"> variables include low albumin and low creatinine; Inflammation variables include high WBC and high ferritin; MBD variables include high or low calcium, phosphorus and PTH</w:t>
      </w:r>
      <w:r>
        <w:rPr>
          <w:sz w:val="20"/>
        </w:rPr>
        <w:t xml:space="preserve">; </w:t>
      </w:r>
      <w:r w:rsidRPr="00BF40F6">
        <w:rPr>
          <w:sz w:val="20"/>
        </w:rPr>
        <w:t xml:space="preserve">95% CI: 2.5th and 97.5th percentiles from </w:t>
      </w:r>
      <w:r>
        <w:rPr>
          <w:sz w:val="20"/>
        </w:rPr>
        <w:t>1000 runs: 1</w:t>
      </w:r>
      <w:r w:rsidRPr="00BF40F6">
        <w:rPr>
          <w:sz w:val="20"/>
        </w:rPr>
        <w:t>00 bootst</w:t>
      </w:r>
      <w:r>
        <w:rPr>
          <w:sz w:val="20"/>
        </w:rPr>
        <w:t>rapped samples combined across 10</w:t>
      </w:r>
      <w:r w:rsidRPr="00BF40F6">
        <w:rPr>
          <w:sz w:val="20"/>
        </w:rPr>
        <w:t xml:space="preserve"> imputations</w:t>
      </w:r>
      <w:r w:rsidR="00211846">
        <w:rPr>
          <w:sz w:val="20"/>
        </w:rPr>
        <w:t xml:space="preserve">; </w:t>
      </w:r>
      <w:r w:rsidR="00211846" w:rsidRPr="00211846">
        <w:rPr>
          <w:sz w:val="20"/>
        </w:rPr>
        <w:t>Negative values of AF could be obtained when the observed HR was less than 1, and we report the negative AFs and/or CI bounds as 0% to convey that no excess mortality risk was attributable to the exposure</w:t>
      </w:r>
    </w:p>
    <w:p w:rsidR="00DC43D1" w:rsidRDefault="00DC43D1" w:rsidP="00DC43D1">
      <w:pPr>
        <w:pStyle w:val="NoSpacing"/>
      </w:pPr>
      <w:r>
        <w:br w:type="page"/>
      </w:r>
    </w:p>
    <w:p w:rsidR="00C201AA" w:rsidRDefault="00C201AA" w:rsidP="00C201AA">
      <w:pPr>
        <w:pStyle w:val="Heading1"/>
        <w:rPr>
          <w:vertAlign w:val="baseline"/>
        </w:rPr>
      </w:pPr>
      <w:r w:rsidRPr="00DC43D1">
        <w:rPr>
          <w:vertAlign w:val="baseline"/>
        </w:rPr>
        <w:lastRenderedPageBreak/>
        <w:t xml:space="preserve">Supplementary Table </w:t>
      </w:r>
      <w:r>
        <w:rPr>
          <w:vertAlign w:val="baseline"/>
        </w:rPr>
        <w:t>3</w:t>
      </w:r>
      <w:r w:rsidRPr="00DC43D1">
        <w:rPr>
          <w:vertAlign w:val="baseline"/>
        </w:rPr>
        <w:t xml:space="preserve">. Attributable fractions for risk factors of 1-year mortality among incident (&lt; 60 days vintage) patients, by </w:t>
      </w:r>
      <w:r>
        <w:rPr>
          <w:vertAlign w:val="baseline"/>
        </w:rPr>
        <w:t>race in North America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220"/>
        <w:gridCol w:w="567"/>
        <w:gridCol w:w="1567"/>
        <w:gridCol w:w="1366"/>
        <w:gridCol w:w="262"/>
        <w:gridCol w:w="567"/>
        <w:gridCol w:w="1567"/>
        <w:gridCol w:w="1366"/>
      </w:tblGrid>
      <w:tr w:rsidR="00C201AA" w:rsidRPr="00C201AA" w:rsidTr="00C201AA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Black patients (N=2354)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Non-black patients (N=6429)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Risk Factor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Catheter 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1.53 (1.08-2.22)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25% (5-43%)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1.47 (1.25-1.73)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 (13-30%)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Albumin &lt; 3.5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1.67 (1.18-2.35)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25% (8-40%)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1.52 (1.32-1.79)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(13-26%)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Creatinine &lt; 6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1.51 (1.06-2.14)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14% (2-25%)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1.28 (1.10-1.51)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 (4-19%)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Lack of pre-ESRD care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1.37 (1.03-1.91)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 (1-20%)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1.35 (1.14-1.61)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(4-13%)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No reported RUV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1.54 (1.11-2.19)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16% (4-29%)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1.33 (1.13-1.61)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 (4-17%)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&gt; 160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0.89 (0.64-1.22)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(0-16%)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(0.73-1.04)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(4-15%)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&lt; 130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1.44 (1.02-1.96)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1.56 (1.35-1.82)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&gt; 5.5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1.50 (1.01-2.20)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 (0-25%)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1.17 (1.00-1.40)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(0-12%)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&lt; 3.5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1.18 (0.76-1.77)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1.08 (0.86-1.30)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&gt; 12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1.15 (0.58-1.99)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(0-24%)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1.01 (0.78-1.30)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2% (0-8%)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&lt; 10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1.17 (0.86-1.61)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1.04 (0.90-1.20)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WBC count &gt; 10,000/</w:t>
            </w:r>
            <w:proofErr w:type="spellStart"/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μL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1.04 (0.69-1.53)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1% (0-8%)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1.27 (1.10-1.47)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(2-8%)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Ferritin &gt; 800 ng/mL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1.51 (0.95-2.36)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(0-11%)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1.24 (0.90-1.61)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2% (0-3%)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&gt; 9.5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1.38 (0.83-2.18)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(0-19%)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1.08 (0.86-1.34)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(0-4%)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&lt; 8.4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1.13 (0.81-1.56)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0.93 (0.81-1.08)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&gt; 300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0.84 (0.56-1.25)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(0-17%)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0.89 (0.74-1.07)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(0-3%)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&lt; 150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21%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1.05 (0.68-1.66)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0.90 (0.75-1.07)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Combined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Malnutrition*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36% (20-50%)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29% (20-37%)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Inflammation*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(0-14%)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(3-10%)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MBD abnormality*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14% (0-40%)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(0-9%)</w:t>
            </w:r>
          </w:p>
        </w:tc>
      </w:tr>
      <w:tr w:rsidR="00C201AA" w:rsidRPr="00C201AA" w:rsidTr="00C201AA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All risk factors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77% (62-87%)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AA" w:rsidRPr="00C201AA" w:rsidRDefault="00C201AA" w:rsidP="00C20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C201AA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64% (54-72%)</w:t>
            </w:r>
          </w:p>
        </w:tc>
      </w:tr>
    </w:tbl>
    <w:p w:rsidR="00C201AA" w:rsidRDefault="00C201AA" w:rsidP="00C201AA">
      <w:pPr>
        <w:pStyle w:val="NoSpacing"/>
        <w:rPr>
          <w:sz w:val="20"/>
        </w:rPr>
      </w:pPr>
      <w:r w:rsidRPr="00F1305B">
        <w:rPr>
          <w:sz w:val="20"/>
        </w:rPr>
        <w:t xml:space="preserve">Cox models </w:t>
      </w:r>
      <w:r>
        <w:rPr>
          <w:sz w:val="20"/>
        </w:rPr>
        <w:t xml:space="preserve">stratified by DOPPS phase and country, </w:t>
      </w:r>
      <w:r w:rsidRPr="00F1305B">
        <w:rPr>
          <w:sz w:val="20"/>
        </w:rPr>
        <w:t xml:space="preserve">adjusted for all other variables in table, plus age, </w:t>
      </w:r>
      <w:r>
        <w:rPr>
          <w:sz w:val="20"/>
        </w:rPr>
        <w:t>sex</w:t>
      </w:r>
      <w:r w:rsidRPr="00F1305B">
        <w:rPr>
          <w:sz w:val="20"/>
        </w:rPr>
        <w:t>, BMI, and 12 comorbidities listed in Table 1</w:t>
      </w:r>
      <w:r>
        <w:rPr>
          <w:sz w:val="20"/>
        </w:rPr>
        <w:t xml:space="preserve">; </w:t>
      </w:r>
      <w:r w:rsidRPr="00F1305B">
        <w:rPr>
          <w:sz w:val="20"/>
        </w:rPr>
        <w:t xml:space="preserve">HR=Hazard Ratio of 1 year mortality; </w:t>
      </w:r>
      <w:r>
        <w:rPr>
          <w:sz w:val="20"/>
        </w:rPr>
        <w:t>AF</w:t>
      </w:r>
      <w:r w:rsidRPr="00F1305B">
        <w:rPr>
          <w:sz w:val="20"/>
        </w:rPr>
        <w:t xml:space="preserve">=Attributable Fraction; ESRD=end-stage renal disease; SBP=systolic blood pressure; WBC=white blood cell; MBD=mineral and bone disorder; </w:t>
      </w:r>
      <w:r>
        <w:rPr>
          <w:sz w:val="20"/>
        </w:rPr>
        <w:t>RUV</w:t>
      </w:r>
      <w:r w:rsidRPr="00F1305B">
        <w:rPr>
          <w:sz w:val="20"/>
        </w:rPr>
        <w:t>=</w:t>
      </w:r>
      <w:r w:rsidRPr="00611827">
        <w:t xml:space="preserve"> </w:t>
      </w:r>
      <w:r w:rsidRPr="00611827">
        <w:rPr>
          <w:sz w:val="20"/>
        </w:rPr>
        <w:t>residual urine volume</w:t>
      </w:r>
      <w:r>
        <w:rPr>
          <w:sz w:val="20"/>
        </w:rPr>
        <w:t xml:space="preserve">; </w:t>
      </w:r>
      <w:r w:rsidRPr="00F1305B">
        <w:rPr>
          <w:sz w:val="20"/>
        </w:rPr>
        <w:t>*</w:t>
      </w:r>
      <w:r>
        <w:rPr>
          <w:sz w:val="20"/>
        </w:rPr>
        <w:t>Malnutrition</w:t>
      </w:r>
      <w:r w:rsidRPr="00F1305B">
        <w:rPr>
          <w:sz w:val="20"/>
        </w:rPr>
        <w:t xml:space="preserve"> variables include low albumin and low creatinine; Inflammation variables include high WBC and high ferritin; MBD variables include high or low calcium, phosphorus and PTH</w:t>
      </w:r>
      <w:r>
        <w:rPr>
          <w:sz w:val="20"/>
        </w:rPr>
        <w:t xml:space="preserve">; </w:t>
      </w:r>
      <w:r w:rsidRPr="00BF40F6">
        <w:rPr>
          <w:sz w:val="20"/>
        </w:rPr>
        <w:t xml:space="preserve">95% CI: 2.5th and 97.5th percentiles from </w:t>
      </w:r>
      <w:r>
        <w:rPr>
          <w:sz w:val="20"/>
        </w:rPr>
        <w:t>1000 runs: 1</w:t>
      </w:r>
      <w:r w:rsidRPr="00BF40F6">
        <w:rPr>
          <w:sz w:val="20"/>
        </w:rPr>
        <w:t>00 bootst</w:t>
      </w:r>
      <w:r>
        <w:rPr>
          <w:sz w:val="20"/>
        </w:rPr>
        <w:t>rapped samples combined across 10</w:t>
      </w:r>
      <w:r w:rsidRPr="00BF40F6">
        <w:rPr>
          <w:sz w:val="20"/>
        </w:rPr>
        <w:t xml:space="preserve"> imputations</w:t>
      </w:r>
      <w:r>
        <w:rPr>
          <w:sz w:val="20"/>
        </w:rPr>
        <w:t xml:space="preserve">; </w:t>
      </w:r>
      <w:r w:rsidRPr="00211846">
        <w:rPr>
          <w:sz w:val="20"/>
        </w:rPr>
        <w:t>Negative values of AF could be obtained when the observed HR was less than 1, and we report the negative AFs and/or CI bounds as 0% to convey that no excess mortality risk was attributable to the exposure</w:t>
      </w:r>
    </w:p>
    <w:p w:rsidR="00C201AA" w:rsidRDefault="00C201AA" w:rsidP="00C201AA">
      <w:pPr>
        <w:pStyle w:val="NoSpacing"/>
      </w:pPr>
      <w:r>
        <w:br w:type="page"/>
      </w:r>
    </w:p>
    <w:p w:rsidR="00DC43D1" w:rsidRPr="00DC43D1" w:rsidRDefault="00DC43D1" w:rsidP="00DC43D1">
      <w:pPr>
        <w:pStyle w:val="Heading1"/>
        <w:rPr>
          <w:vertAlign w:val="baseline"/>
        </w:rPr>
      </w:pPr>
      <w:r w:rsidRPr="00DC43D1">
        <w:rPr>
          <w:vertAlign w:val="baseline"/>
        </w:rPr>
        <w:lastRenderedPageBreak/>
        <w:t xml:space="preserve">Supplementary Table </w:t>
      </w:r>
      <w:r w:rsidR="009D0F6E">
        <w:rPr>
          <w:vertAlign w:val="baseline"/>
        </w:rPr>
        <w:t>4</w:t>
      </w:r>
      <w:r w:rsidRPr="00DC43D1">
        <w:rPr>
          <w:vertAlign w:val="baseline"/>
        </w:rPr>
        <w:t>. Attributable fractions for risk factors of 1-year mortality for incident (&lt;60 days) patients: Impact of CRP inclusion</w:t>
      </w:r>
    </w:p>
    <w:tbl>
      <w:tblPr>
        <w:tblW w:w="13244" w:type="dxa"/>
        <w:tblLook w:val="04A0" w:firstRow="1" w:lastRow="0" w:firstColumn="1" w:lastColumn="0" w:noHBand="0" w:noVBand="1"/>
      </w:tblPr>
      <w:tblGrid>
        <w:gridCol w:w="2220"/>
        <w:gridCol w:w="567"/>
        <w:gridCol w:w="1567"/>
        <w:gridCol w:w="1366"/>
        <w:gridCol w:w="262"/>
        <w:gridCol w:w="567"/>
        <w:gridCol w:w="1567"/>
        <w:gridCol w:w="1366"/>
        <w:gridCol w:w="262"/>
        <w:gridCol w:w="567"/>
        <w:gridCol w:w="1567"/>
        <w:gridCol w:w="1366"/>
      </w:tblGrid>
      <w:tr w:rsidR="00DC43D1" w:rsidRPr="007A0A3C" w:rsidTr="00017034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Primary analysis (N=15891)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Subset with CRP data (N=3596)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Subset with CRP data (N=3596)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Not including CRP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Not including CRP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Including CRP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Risk Factor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% pts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HR (95% CI)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AF (95% CI)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CRP &gt; 10 mg/L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1.64 (1.21-2.22)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21% (8-33%)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Catheter 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1.52 (1.37-1.71)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 (17-27%)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1.61 (1.19-2.19)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 (8-34%)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1.53 (1.10-2.07)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20% (5-33%)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Albumin &lt; 3.5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1.51 (1.35-1.68)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(14-24%)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1.58 (1.18-2.16)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 (8-35%)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1.48 (1.10-2.02)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 (5-32%)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Creatinine &lt; 6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1.32 (1.18-1.48)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12% (7-16%)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1.13 (0.85-1.51)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(0-17%)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1.12 (0.84-1.48)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(0-16%)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Lack of pre-ESRD care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1.38 (1.24-1.56)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(6-12%)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1.48 (1.12-1.96)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(3-16%)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1.46 (1.11-1.94)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(2-16%)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No reported RUV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32%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1.32 (1.18-1.50)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 (5-12%)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1.21 (0.84-1.64)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(0-10%)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1.20 (0.84-1.63)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(0-9%)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&gt; 160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27%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(0.78-0.99)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(4-12%)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0.77 (0.53-1.10)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(0-14%)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0.78 (0.53-1.09)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(0-14%)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SBP &lt; 130 mm Hg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1.51 (1.35-1.70)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1.42 (1.05-1.86)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1.40 (1.04-1.84)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&gt; 5.5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1.20 (1.06-1.36)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(2-11%)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1.18 (0.89-1.54)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(0-16%)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1.17 (0.88-1.52)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(0-15%)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Phosphorus &lt; 3.5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1.12 (0.96-1.31)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1.12 (0.76-1.58)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1.08 (0.73-1.52)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&gt; 12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1.04 (0.87-1.27)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(1-11%)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1.01 (0.64-1.56)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(0-20%)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1.04 (0.67-1.63)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 (0-18%)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Hemoglobin &lt; 10 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1.14 (1.02-1.29)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1.20 (0.92-1.60)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1.15 (0.89-1.53)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WBC count &gt; 10,000/</w:t>
            </w:r>
            <w:proofErr w:type="spellStart"/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μL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1.30 (1.17-1.46)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5% (3-8%)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1.26 (0.91-1.72)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(0-9%)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1.16 (0.84-1.62)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2% (0-8%)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Ferritin &gt; 800 ng/mL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1.35 (1.14-1.63)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2% (1-4%)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1.60 (1.08-2.31)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4% (1-7%)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1.54 (1.03-2.22)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3% (0-7%)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&gt; 9.5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1.09 (0.92-1.27)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0.83 (0.51-1.23)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(0-9%)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0.83 (0.51-1.24)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(0-8%)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Calcium &lt; 8.4 mg/dL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0.96 (0.86-1.08)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0.99 (0.73-1.31)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0.96 (0.71-1.27)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&gt; 300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39%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0.88 (0.76-1.01)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0.88 (0.63-1.20)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(0-8%)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0.88 (0.63-1.19)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(0-7%)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PTH &lt; 150 pg/mL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33%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0.92 (0.77-1.04)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0.87 (0.65-1.19)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34%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0.84 (0.63-1.14)</w:t>
            </w:r>
          </w:p>
        </w:tc>
        <w:tc>
          <w:tcPr>
            <w:tcW w:w="13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Combined AF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 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Malnutrition*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29% (23-35%)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 (10-41%)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23% (6-39%)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Inflammation*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8% (5-10%)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7% (1-14%)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26% (13-37%)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MBD abnormality*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 (0-10%)</w:t>
            </w:r>
          </w:p>
        </w:tc>
        <w:tc>
          <w:tcPr>
            <w:tcW w:w="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(0-17%)</w:t>
            </w:r>
          </w:p>
        </w:tc>
        <w:tc>
          <w:tcPr>
            <w:tcW w:w="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0%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 (0-14%)</w:t>
            </w:r>
          </w:p>
        </w:tc>
      </w:tr>
      <w:tr w:rsidR="00DC43D1" w:rsidRPr="007A0A3C" w:rsidTr="00017034">
        <w:trPr>
          <w:trHeight w:val="255"/>
        </w:trPr>
        <w:tc>
          <w:tcPr>
            <w:tcW w:w="22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All risk factors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65% (59-71%)</w:t>
            </w:r>
          </w:p>
        </w:tc>
        <w:tc>
          <w:tcPr>
            <w:tcW w:w="26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59% (42-72%)</w:t>
            </w:r>
          </w:p>
        </w:tc>
        <w:tc>
          <w:tcPr>
            <w:tcW w:w="26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3D1" w:rsidRPr="007A0A3C" w:rsidRDefault="00DC43D1" w:rsidP="0001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7A0A3C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>63% (47-75%)</w:t>
            </w:r>
          </w:p>
        </w:tc>
      </w:tr>
    </w:tbl>
    <w:p w:rsidR="001A494A" w:rsidRPr="00DC43D1" w:rsidRDefault="00DC43D1" w:rsidP="00211846">
      <w:pPr>
        <w:pStyle w:val="NoSpacing"/>
      </w:pPr>
      <w:r w:rsidRPr="00F1305B">
        <w:rPr>
          <w:sz w:val="20"/>
        </w:rPr>
        <w:t xml:space="preserve">Cox models </w:t>
      </w:r>
      <w:r>
        <w:rPr>
          <w:sz w:val="20"/>
        </w:rPr>
        <w:t xml:space="preserve">stratified by DOPPS phase and country, </w:t>
      </w:r>
      <w:r w:rsidRPr="00F1305B">
        <w:rPr>
          <w:sz w:val="20"/>
        </w:rPr>
        <w:t xml:space="preserve">adjusted for all other variables in table, plus age, </w:t>
      </w:r>
      <w:r>
        <w:rPr>
          <w:sz w:val="20"/>
        </w:rPr>
        <w:t>sex</w:t>
      </w:r>
      <w:r w:rsidRPr="00F1305B">
        <w:rPr>
          <w:sz w:val="20"/>
        </w:rPr>
        <w:t>, black race, BMI, and 12 comorbidities listed in Table 1</w:t>
      </w:r>
      <w:r>
        <w:rPr>
          <w:sz w:val="20"/>
        </w:rPr>
        <w:t xml:space="preserve">; </w:t>
      </w:r>
      <w:r w:rsidRPr="00F1305B">
        <w:rPr>
          <w:sz w:val="20"/>
        </w:rPr>
        <w:t xml:space="preserve">HR=Hazard Ratio of 1 year mortality; </w:t>
      </w:r>
      <w:r>
        <w:rPr>
          <w:sz w:val="20"/>
        </w:rPr>
        <w:t>AF</w:t>
      </w:r>
      <w:r w:rsidRPr="00F1305B">
        <w:rPr>
          <w:sz w:val="20"/>
        </w:rPr>
        <w:t xml:space="preserve">=Attributable Fraction; ESRD=end-stage renal disease; SBP=systolic blood pressure; WBC=white blood cell; MBD=mineral and bone disorder; </w:t>
      </w:r>
      <w:r>
        <w:rPr>
          <w:sz w:val="20"/>
        </w:rPr>
        <w:t>RUV</w:t>
      </w:r>
      <w:r w:rsidRPr="00F1305B">
        <w:rPr>
          <w:sz w:val="20"/>
        </w:rPr>
        <w:t>=</w:t>
      </w:r>
      <w:r w:rsidRPr="00611827">
        <w:t xml:space="preserve"> </w:t>
      </w:r>
      <w:r w:rsidRPr="00611827">
        <w:rPr>
          <w:sz w:val="20"/>
        </w:rPr>
        <w:t>residual urine volume</w:t>
      </w:r>
      <w:r>
        <w:rPr>
          <w:sz w:val="20"/>
        </w:rPr>
        <w:t xml:space="preserve">; </w:t>
      </w:r>
      <w:r w:rsidRPr="00474FCF">
        <w:rPr>
          <w:sz w:val="20"/>
        </w:rPr>
        <w:t>CRP=C-reactive protein</w:t>
      </w:r>
      <w:r>
        <w:rPr>
          <w:sz w:val="20"/>
        </w:rPr>
        <w:t xml:space="preserve">; </w:t>
      </w:r>
      <w:r w:rsidRPr="00F1305B">
        <w:rPr>
          <w:sz w:val="20"/>
        </w:rPr>
        <w:t>*</w:t>
      </w:r>
      <w:r>
        <w:rPr>
          <w:sz w:val="20"/>
        </w:rPr>
        <w:t>Malnutrition</w:t>
      </w:r>
      <w:r w:rsidRPr="00F1305B">
        <w:rPr>
          <w:sz w:val="20"/>
        </w:rPr>
        <w:t xml:space="preserve"> variables include low albumin and low creatinine; Inflammation variables include high WBC</w:t>
      </w:r>
      <w:r>
        <w:rPr>
          <w:sz w:val="20"/>
        </w:rPr>
        <w:t xml:space="preserve">, </w:t>
      </w:r>
      <w:r w:rsidRPr="00F1305B">
        <w:rPr>
          <w:sz w:val="20"/>
        </w:rPr>
        <w:t>high ferritin</w:t>
      </w:r>
      <w:r>
        <w:rPr>
          <w:sz w:val="20"/>
        </w:rPr>
        <w:t>, and high CRP</w:t>
      </w:r>
      <w:r w:rsidRPr="00F1305B">
        <w:rPr>
          <w:sz w:val="20"/>
        </w:rPr>
        <w:t>; MBD variables include high or low calcium, phosphorus and PTH</w:t>
      </w:r>
      <w:r>
        <w:rPr>
          <w:sz w:val="20"/>
        </w:rPr>
        <w:t xml:space="preserve">; </w:t>
      </w:r>
      <w:r w:rsidRPr="00BF40F6">
        <w:rPr>
          <w:sz w:val="20"/>
        </w:rPr>
        <w:t xml:space="preserve">95% CI: 2.5th and 97.5th percentiles from </w:t>
      </w:r>
      <w:r>
        <w:rPr>
          <w:sz w:val="20"/>
        </w:rPr>
        <w:t>1000 runs: 1</w:t>
      </w:r>
      <w:r w:rsidRPr="00BF40F6">
        <w:rPr>
          <w:sz w:val="20"/>
        </w:rPr>
        <w:t xml:space="preserve">00 bootstrapped samples combined across </w:t>
      </w:r>
      <w:r>
        <w:rPr>
          <w:sz w:val="20"/>
        </w:rPr>
        <w:t>10</w:t>
      </w:r>
      <w:r w:rsidRPr="00BF40F6">
        <w:rPr>
          <w:sz w:val="20"/>
        </w:rPr>
        <w:t xml:space="preserve"> imputations</w:t>
      </w:r>
      <w:r w:rsidR="00211846">
        <w:rPr>
          <w:sz w:val="20"/>
        </w:rPr>
        <w:t xml:space="preserve">; </w:t>
      </w:r>
      <w:r w:rsidR="00211846" w:rsidRPr="00211846">
        <w:rPr>
          <w:sz w:val="20"/>
        </w:rPr>
        <w:t>Negative values of AF could be obtained when the observed HR was less than 1, and we report the negative AFs and/or CI bounds as 0% to convey that no excess mortality risk was attributable to the exposure</w:t>
      </w:r>
    </w:p>
    <w:sectPr w:rsidR="001A494A" w:rsidRPr="00DC43D1" w:rsidSect="00DD7F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D1"/>
    <w:rsid w:val="00027EB4"/>
    <w:rsid w:val="00186812"/>
    <w:rsid w:val="001A494A"/>
    <w:rsid w:val="001B3F2B"/>
    <w:rsid w:val="00211846"/>
    <w:rsid w:val="00220ABC"/>
    <w:rsid w:val="002500AC"/>
    <w:rsid w:val="002B4EB8"/>
    <w:rsid w:val="0031386D"/>
    <w:rsid w:val="003805E1"/>
    <w:rsid w:val="004864DC"/>
    <w:rsid w:val="00537F86"/>
    <w:rsid w:val="0055205D"/>
    <w:rsid w:val="005A473B"/>
    <w:rsid w:val="005B0F19"/>
    <w:rsid w:val="005E2BF2"/>
    <w:rsid w:val="00617DA0"/>
    <w:rsid w:val="006F0D0F"/>
    <w:rsid w:val="00780788"/>
    <w:rsid w:val="008B103C"/>
    <w:rsid w:val="009D0F6E"/>
    <w:rsid w:val="00C201AA"/>
    <w:rsid w:val="00C9439A"/>
    <w:rsid w:val="00DC43D1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640F-6DF3-4248-BE76-DEC3EFEA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3D1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EB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vertAlign w:val="superscri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EB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vertAlign w:val="superscrip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vertAlign w:val="superscrip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vertAlign w:val="superscrip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vertAlign w:val="superscrip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vertAlign w:val="superscrip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vertAlign w:val="superscrip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vertAlign w:val="superscrip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EB8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EB8"/>
    <w:pPr>
      <w:spacing w:after="160" w:line="259" w:lineRule="auto"/>
    </w:pPr>
    <w:rPr>
      <w:rFonts w:ascii="Tahoma" w:hAnsi="Tahoma" w:cs="Tahoma"/>
      <w:sz w:val="16"/>
      <w:szCs w:val="16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B8"/>
    <w:rPr>
      <w:rFonts w:ascii="Tahoma" w:eastAsiaTheme="minorEastAsia" w:hAnsi="Tahoma" w:cs="Tahoma"/>
      <w:sz w:val="16"/>
      <w:szCs w:val="16"/>
      <w:lang w:eastAsia="zh-CN"/>
    </w:rPr>
  </w:style>
  <w:style w:type="character" w:styleId="BookTitle">
    <w:name w:val="Book Title"/>
    <w:basedOn w:val="DefaultParagraphFont"/>
    <w:uiPriority w:val="33"/>
    <w:qFormat/>
    <w:rsid w:val="002B4EB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4EB8"/>
    <w:pPr>
      <w:spacing w:line="240" w:lineRule="auto"/>
    </w:pPr>
    <w:rPr>
      <w:i/>
      <w:iCs/>
      <w:color w:val="44546A" w:themeColor="text2"/>
      <w:sz w:val="18"/>
      <w:szCs w:val="18"/>
      <w:vertAlign w:val="superscript"/>
    </w:rPr>
  </w:style>
  <w:style w:type="character" w:styleId="Emphasis">
    <w:name w:val="Emphasis"/>
    <w:basedOn w:val="DefaultParagraphFont"/>
    <w:uiPriority w:val="20"/>
    <w:qFormat/>
    <w:rsid w:val="002B4EB8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2B4EB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4EB8"/>
    <w:pPr>
      <w:tabs>
        <w:tab w:val="center" w:pos="4680"/>
        <w:tab w:val="right" w:pos="9360"/>
      </w:tabs>
      <w:spacing w:after="0" w:line="240" w:lineRule="auto"/>
    </w:pPr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B4EB8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B4EB8"/>
    <w:pPr>
      <w:tabs>
        <w:tab w:val="center" w:pos="4680"/>
        <w:tab w:val="right" w:pos="9360"/>
      </w:tabs>
      <w:spacing w:after="0" w:line="240" w:lineRule="auto"/>
    </w:pPr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B4EB8"/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B4E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B4EB8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EB8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EB8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EB8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EB8"/>
    <w:rPr>
      <w:rFonts w:asciiTheme="majorHAnsi" w:eastAsiaTheme="majorEastAsia" w:hAnsiTheme="majorHAnsi" w:cstheme="majorBidi"/>
      <w:color w:val="1F4E79" w:themeColor="accent1" w:themeShade="8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EB8"/>
    <w:rPr>
      <w:rFonts w:asciiTheme="majorHAnsi" w:eastAsiaTheme="majorEastAsia" w:hAnsiTheme="majorHAnsi" w:cstheme="majorBidi"/>
      <w:i/>
      <w:iCs/>
      <w:color w:val="1F4E79" w:themeColor="accent1" w:themeShade="8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EB8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EB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2B4EB8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B4EB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E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  <w:vertAlign w:val="superscrip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EB8"/>
    <w:rPr>
      <w:rFonts w:eastAsiaTheme="minorEastAsia"/>
      <w:i/>
      <w:iCs/>
      <w:color w:val="5B9BD5" w:themeColor="accent1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2B4EB8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2B4EB8"/>
    <w:pPr>
      <w:spacing w:after="160" w:line="259" w:lineRule="auto"/>
      <w:ind w:left="720"/>
      <w:contextualSpacing/>
    </w:pPr>
    <w:rPr>
      <w:vertAlign w:val="superscript"/>
    </w:rPr>
  </w:style>
  <w:style w:type="paragraph" w:styleId="NoSpacing">
    <w:name w:val="No Spacing"/>
    <w:uiPriority w:val="1"/>
    <w:qFormat/>
    <w:rsid w:val="002B4EB8"/>
    <w:pPr>
      <w:spacing w:after="0" w:line="240" w:lineRule="auto"/>
    </w:pPr>
    <w:rPr>
      <w:rFonts w:eastAsiaTheme="minorEastAsia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2B4EB8"/>
    <w:pPr>
      <w:spacing w:before="200" w:after="160" w:line="259" w:lineRule="auto"/>
      <w:ind w:left="864" w:right="864"/>
    </w:pPr>
    <w:rPr>
      <w:i/>
      <w:iCs/>
      <w:color w:val="404040" w:themeColor="text1" w:themeTint="BF"/>
      <w:vertAlign w:val="superscript"/>
    </w:rPr>
  </w:style>
  <w:style w:type="character" w:customStyle="1" w:styleId="QuoteChar">
    <w:name w:val="Quote Char"/>
    <w:basedOn w:val="DefaultParagraphFont"/>
    <w:link w:val="Quote"/>
    <w:uiPriority w:val="29"/>
    <w:rsid w:val="002B4EB8"/>
    <w:rPr>
      <w:rFonts w:eastAsiaTheme="minorEastAsia"/>
      <w:i/>
      <w:iCs/>
      <w:color w:val="404040" w:themeColor="text1" w:themeTint="BF"/>
      <w:lang w:eastAsia="zh-CN"/>
    </w:rPr>
  </w:style>
  <w:style w:type="character" w:styleId="Strong">
    <w:name w:val="Strong"/>
    <w:basedOn w:val="DefaultParagraphFont"/>
    <w:uiPriority w:val="22"/>
    <w:qFormat/>
    <w:rsid w:val="002B4EB8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EB8"/>
    <w:pPr>
      <w:numPr>
        <w:ilvl w:val="1"/>
      </w:numPr>
      <w:spacing w:after="160" w:line="259" w:lineRule="auto"/>
    </w:pPr>
    <w:rPr>
      <w:color w:val="5A5A5A" w:themeColor="text1" w:themeTint="A5"/>
      <w:spacing w:val="15"/>
      <w:vertAlign w:val="superscript"/>
    </w:rPr>
  </w:style>
  <w:style w:type="character" w:customStyle="1" w:styleId="SubtitleChar">
    <w:name w:val="Subtitle Char"/>
    <w:basedOn w:val="DefaultParagraphFont"/>
    <w:link w:val="Subtitle"/>
    <w:uiPriority w:val="11"/>
    <w:rsid w:val="002B4EB8"/>
    <w:rPr>
      <w:rFonts w:eastAsiaTheme="minorEastAsia"/>
      <w:color w:val="5A5A5A" w:themeColor="text1" w:themeTint="A5"/>
      <w:spacing w:val="15"/>
      <w:lang w:eastAsia="zh-CN"/>
    </w:rPr>
  </w:style>
  <w:style w:type="character" w:styleId="SubtleEmphasis">
    <w:name w:val="Subtle Emphasis"/>
    <w:basedOn w:val="DefaultParagraphFont"/>
    <w:uiPriority w:val="19"/>
    <w:qFormat/>
    <w:rsid w:val="002B4E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B4EB8"/>
    <w:rPr>
      <w:smallCap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Arbor Research Collaborative for Health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McCready-Maynes</dc:creator>
  <cp:keywords/>
  <dc:description/>
  <cp:lastModifiedBy>Boon Lee</cp:lastModifiedBy>
  <cp:revision>2</cp:revision>
  <dcterms:created xsi:type="dcterms:W3CDTF">2019-12-17T23:10:00Z</dcterms:created>
  <dcterms:modified xsi:type="dcterms:W3CDTF">2019-12-17T23:10:00Z</dcterms:modified>
</cp:coreProperties>
</file>