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35E6" w:rsidRDefault="00CB35E6" w:rsidP="00CB35E6">
      <w:pPr>
        <w:rPr>
          <w:rFonts w:ascii="Times New Roman" w:hAnsi="Times New Roman" w:cs="Times New Roman"/>
          <w:sz w:val="28"/>
          <w:szCs w:val="28"/>
        </w:rPr>
      </w:pPr>
      <w:r w:rsidRPr="00C36CD9">
        <w:rPr>
          <w:rFonts w:ascii="Times New Roman" w:hAnsi="Times New Roman" w:cs="Times New Roman"/>
          <w:b/>
          <w:sz w:val="28"/>
          <w:szCs w:val="28"/>
        </w:rPr>
        <w:t xml:space="preserve">Figure S1 Prognostic significance of MAGI2-AS3 and biological function of CADM2. </w:t>
      </w:r>
      <w:r>
        <w:rPr>
          <w:rFonts w:ascii="Times New Roman" w:hAnsi="Times New Roman" w:cs="Times New Roman"/>
          <w:sz w:val="28"/>
          <w:szCs w:val="28"/>
        </w:rPr>
        <w:t xml:space="preserve">(A) Relation between MAGI2-AS3 level and overall survival of LUSC patients was analyzed by Kaplan-Meier analysis. (B) The </w:t>
      </w:r>
      <w:proofErr w:type="spellStart"/>
      <w:r>
        <w:rPr>
          <w:rFonts w:ascii="Times New Roman" w:hAnsi="Times New Roman" w:cs="Times New Roman"/>
          <w:sz w:val="28"/>
          <w:szCs w:val="28"/>
        </w:rPr>
        <w:t>venn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pattern showed the target genes for miR-374a/b-5p based on the database of </w:t>
      </w:r>
      <w:proofErr w:type="spellStart"/>
      <w:r>
        <w:rPr>
          <w:rFonts w:ascii="Times New Roman" w:hAnsi="Times New Roman" w:cs="Times New Roman"/>
          <w:sz w:val="28"/>
          <w:szCs w:val="28"/>
        </w:rPr>
        <w:t>miRmap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microT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miRanda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Pictar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(C) Quantification of colonies generated by SW900 and SK-MES-1 cells with CADM2 overexpression versus control. (D) Quantification of </w:t>
      </w:r>
      <w:proofErr w:type="spellStart"/>
      <w:r>
        <w:rPr>
          <w:rFonts w:ascii="Times New Roman" w:hAnsi="Times New Roman" w:cs="Times New Roman"/>
          <w:sz w:val="28"/>
          <w:szCs w:val="28"/>
        </w:rPr>
        <w:t>EdU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positive cell ratio in SW900 and SK-MES-1 cells with CADM2 overexpression versus control. (E) Quantification of apoptotic ratio by flow cytometry analysis in SW900 and SK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-MES-1 cells with CADM2 overexpression versus control. (F-G) Quantification of migrated and invaded cells in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transwell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assay in SW900 and SK-MES-1 cells with CADM2 overexpression versus control. </w:t>
      </w:r>
      <w:r w:rsidRPr="00935534">
        <w:rPr>
          <w:rFonts w:ascii="Times New Roman" w:hAnsi="Times New Roman" w:cs="Times New Roman"/>
          <w:sz w:val="28"/>
          <w:szCs w:val="28"/>
          <w:vertAlign w:val="superscript"/>
        </w:rPr>
        <w:t>**</w:t>
      </w:r>
      <w:r w:rsidRPr="00935534">
        <w:rPr>
          <w:rFonts w:ascii="Times New Roman" w:hAnsi="Times New Roman" w:cs="Times New Roman"/>
          <w:sz w:val="28"/>
          <w:szCs w:val="28"/>
        </w:rPr>
        <w:t>P&lt; 0.01.</w:t>
      </w:r>
    </w:p>
    <w:p w:rsidR="00CB35E6" w:rsidRDefault="00D470A9" w:rsidP="00CB35E6">
      <w:pPr>
        <w:rPr>
          <w:rFonts w:ascii="Times New Roman" w:hAnsi="Times New Roman" w:cs="Times New Roman"/>
          <w:sz w:val="28"/>
          <w:szCs w:val="28"/>
        </w:rPr>
      </w:pPr>
      <w:r w:rsidRPr="00D470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994025"/>
            <wp:effectExtent l="0" t="0" r="2540" b="0"/>
            <wp:docPr id="4" name="Picture 4" descr="C:\Users\boonlee\Downloads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nlee\Downloads\Figure 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5E6" w:rsidRDefault="00CB35E6" w:rsidP="00CB35E6">
      <w:pPr>
        <w:rPr>
          <w:rFonts w:ascii="Times New Roman" w:hAnsi="Times New Roman" w:cs="Times New Roman"/>
          <w:sz w:val="28"/>
          <w:szCs w:val="28"/>
        </w:rPr>
      </w:pPr>
    </w:p>
    <w:p w:rsidR="00CB35E6" w:rsidRDefault="00CB35E6" w:rsidP="00CB35E6">
      <w:pPr>
        <w:rPr>
          <w:rFonts w:ascii="Times New Roman" w:hAnsi="Times New Roman" w:cs="Times New Roman"/>
          <w:sz w:val="28"/>
          <w:szCs w:val="28"/>
        </w:rPr>
      </w:pPr>
      <w:r w:rsidRPr="00C36CD9">
        <w:rPr>
          <w:rFonts w:ascii="Times New Roman" w:hAnsi="Times New Roman" w:cs="Times New Roman" w:hint="eastAsia"/>
          <w:b/>
          <w:sz w:val="28"/>
          <w:szCs w:val="28"/>
        </w:rPr>
        <w:lastRenderedPageBreak/>
        <w:t xml:space="preserve">Figure S2 Validation of MAGI2-AS3/miR-23a-3p/PTEN axis in LUSC cells. </w:t>
      </w:r>
      <w:r>
        <w:rPr>
          <w:rFonts w:ascii="Times New Roman" w:hAnsi="Times New Roman" w:cs="Times New Roman"/>
          <w:sz w:val="28"/>
          <w:szCs w:val="28"/>
        </w:rPr>
        <w:t xml:space="preserve">(A-B) RT-qPCR analysis of SMG1 and PTEN expressions in LUSC samples versus the normal samples. (C) Pulldown assay confirmed the non-interaction of PTEN with miR-374a/b-5p. (D-E) RT-qPCR and western blot results of PTEN level in LUSC cells under overexpression of miR-374a/b-5p or MAGI2-AS3. (F-G) Pulldown and RIP assays confirmed the interaction of miR-23a-3p with PTEN and MAGI2-AS3. (H) Binding sites on PTEN for miR-23a-3p were obtained from </w:t>
      </w:r>
      <w:proofErr w:type="spellStart"/>
      <w:r>
        <w:rPr>
          <w:rFonts w:ascii="Times New Roman" w:hAnsi="Times New Roman" w:cs="Times New Roman"/>
          <w:sz w:val="28"/>
          <w:szCs w:val="28"/>
        </w:rPr>
        <w:t>TargetScan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Luciferase reporter assay confirmed that miR-23a-3p targeted PTEN at the predicted sites. </w:t>
      </w:r>
      <w:r w:rsidRPr="00935534">
        <w:rPr>
          <w:rFonts w:ascii="Times New Roman" w:hAnsi="Times New Roman" w:cs="Times New Roman"/>
          <w:sz w:val="28"/>
          <w:szCs w:val="28"/>
          <w:vertAlign w:val="superscript"/>
        </w:rPr>
        <w:t>**</w:t>
      </w:r>
      <w:r w:rsidRPr="00935534">
        <w:rPr>
          <w:rFonts w:ascii="Times New Roman" w:hAnsi="Times New Roman" w:cs="Times New Roman"/>
          <w:sz w:val="28"/>
          <w:szCs w:val="28"/>
        </w:rPr>
        <w:t>P&lt; 0.01.</w:t>
      </w:r>
    </w:p>
    <w:p w:rsidR="00CB35E6" w:rsidRDefault="00CB35E6" w:rsidP="00CB35E6">
      <w:pPr>
        <w:rPr>
          <w:rFonts w:ascii="Times New Roman" w:hAnsi="Times New Roman" w:cs="Times New Roman"/>
          <w:sz w:val="28"/>
          <w:szCs w:val="28"/>
        </w:rPr>
      </w:pPr>
      <w:r w:rsidRPr="00CB35E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4310" cy="6512912"/>
            <wp:effectExtent l="0" t="0" r="2540" b="2540"/>
            <wp:docPr id="2" name="图片 2" descr="C:\Users\YINZHENGXIA\Desktop\order\FQ-0045-20180912-R1\文稿\返修\CANCER MANAGEMENT AND RESEARCH\重提交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INZHENGXIA\Desktop\order\FQ-0045-20180912-R1\文稿\返修\CANCER MANAGEMENT AND RESEARCH\重提交\Figure S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1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5E6" w:rsidRDefault="00CB35E6" w:rsidP="00CB35E6">
      <w:pPr>
        <w:rPr>
          <w:rFonts w:ascii="Times New Roman" w:hAnsi="Times New Roman" w:cs="Times New Roman"/>
          <w:sz w:val="28"/>
          <w:szCs w:val="28"/>
        </w:rPr>
      </w:pPr>
    </w:p>
    <w:p w:rsidR="00CB35E6" w:rsidRDefault="00CB35E6" w:rsidP="00CB35E6">
      <w:pPr>
        <w:rPr>
          <w:rFonts w:ascii="Times New Roman" w:hAnsi="Times New Roman" w:cs="Times New Roman"/>
          <w:sz w:val="28"/>
          <w:szCs w:val="28"/>
        </w:rPr>
      </w:pPr>
    </w:p>
    <w:p w:rsidR="00CB35E6" w:rsidRDefault="00CB35E6" w:rsidP="00CB35E6">
      <w:pPr>
        <w:rPr>
          <w:rFonts w:ascii="Times New Roman" w:hAnsi="Times New Roman" w:cs="Times New Roman"/>
          <w:sz w:val="28"/>
          <w:szCs w:val="28"/>
        </w:rPr>
      </w:pPr>
    </w:p>
    <w:p w:rsidR="00CB35E6" w:rsidRDefault="00CB35E6" w:rsidP="00CB35E6">
      <w:pPr>
        <w:rPr>
          <w:rFonts w:ascii="Times New Roman" w:hAnsi="Times New Roman" w:cs="Times New Roman"/>
          <w:sz w:val="28"/>
          <w:szCs w:val="28"/>
        </w:rPr>
      </w:pPr>
    </w:p>
    <w:p w:rsidR="00CB35E6" w:rsidRDefault="00CB35E6" w:rsidP="00CB35E6">
      <w:pPr>
        <w:rPr>
          <w:rFonts w:ascii="Times New Roman" w:hAnsi="Times New Roman" w:cs="Times New Roman"/>
          <w:sz w:val="28"/>
          <w:szCs w:val="28"/>
        </w:rPr>
      </w:pPr>
    </w:p>
    <w:p w:rsidR="00CB35E6" w:rsidRDefault="00CB35E6" w:rsidP="00CB35E6">
      <w:pPr>
        <w:rPr>
          <w:rFonts w:ascii="Times New Roman" w:hAnsi="Times New Roman" w:cs="Times New Roman"/>
          <w:sz w:val="28"/>
          <w:szCs w:val="28"/>
        </w:rPr>
      </w:pPr>
    </w:p>
    <w:p w:rsidR="00CB35E6" w:rsidRPr="00716059" w:rsidRDefault="00CB35E6" w:rsidP="00CB35E6">
      <w:pPr>
        <w:rPr>
          <w:rFonts w:ascii="Times New Roman" w:hAnsi="Times New Roman" w:cs="Times New Roman"/>
          <w:sz w:val="28"/>
          <w:szCs w:val="28"/>
        </w:rPr>
      </w:pPr>
      <w:r w:rsidRPr="00C36CD9">
        <w:rPr>
          <w:rFonts w:ascii="Times New Roman" w:hAnsi="Times New Roman" w:cs="Times New Roman" w:hint="eastAsia"/>
          <w:b/>
          <w:sz w:val="28"/>
          <w:szCs w:val="28"/>
        </w:rPr>
        <w:lastRenderedPageBreak/>
        <w:t>Figure S3 Validation of the function of MAGI2-AS3/miR-23a-3p/PTEN axis in LUSC</w:t>
      </w:r>
      <w:r w:rsidRPr="00C36CD9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(A) RT-qPCR results of miR-23a-3p upregulation in LUSC tissues. (B) The expression correlations among miR-23a-3p, PTEN and MAGI2-AS3 in LUSC tissues by Spearman’s correlation curve. (C) SW900 and SK-MES-1 cells were transfected with pcDNA3.1, </w:t>
      </w:r>
      <w:r w:rsidRPr="00F53F2B">
        <w:rPr>
          <w:rFonts w:ascii="Times New Roman" w:hAnsi="Times New Roman" w:cs="Times New Roman"/>
          <w:sz w:val="28"/>
          <w:szCs w:val="28"/>
        </w:rPr>
        <w:t>pcDNA3.1/MAGI2-AS3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53F2B">
        <w:rPr>
          <w:rFonts w:ascii="Times New Roman" w:hAnsi="Times New Roman" w:cs="Times New Roman"/>
          <w:sz w:val="28"/>
          <w:szCs w:val="28"/>
        </w:rPr>
        <w:t xml:space="preserve"> pcDNA3.1/MAGI2-AS3+NC mimics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53F2B">
        <w:rPr>
          <w:rFonts w:ascii="Times New Roman" w:hAnsi="Times New Roman" w:cs="Times New Roman"/>
          <w:sz w:val="28"/>
          <w:szCs w:val="28"/>
        </w:rPr>
        <w:t>pcDNA3.1/MAGI2-AS3+miR-23a-3p mimics</w:t>
      </w:r>
      <w:r>
        <w:rPr>
          <w:rFonts w:ascii="Times New Roman" w:hAnsi="Times New Roman" w:cs="Times New Roman"/>
          <w:sz w:val="28"/>
          <w:szCs w:val="28"/>
        </w:rPr>
        <w:t xml:space="preserve">, or </w:t>
      </w:r>
      <w:r w:rsidRPr="00F53F2B">
        <w:rPr>
          <w:rFonts w:ascii="Times New Roman" w:hAnsi="Times New Roman" w:cs="Times New Roman"/>
          <w:sz w:val="28"/>
          <w:szCs w:val="28"/>
        </w:rPr>
        <w:t>pcDNA3.1/MAGI2-AS3+miR-23a-3p mimics+pcDNA3.1/PTEN</w:t>
      </w:r>
      <w:r>
        <w:rPr>
          <w:rFonts w:ascii="Times New Roman" w:hAnsi="Times New Roman" w:cs="Times New Roman"/>
          <w:sz w:val="28"/>
          <w:szCs w:val="28"/>
        </w:rPr>
        <w:t xml:space="preserve"> respectively. Western blot analysis of PTEN levels in indicated group. (D-E) Cell proliferation of SK-MES-1 cells was evaluated by colony formation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EdU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 each group. (F) Apoptosis ratio was analyzed by flow cytometry analysis in SK-MES-1 cells of each group. (G-H) Migration and invasion of SK-MES-1 cells of each group was analyzed by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Transwell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assay. </w:t>
      </w:r>
      <w:r w:rsidRPr="00935534">
        <w:rPr>
          <w:rFonts w:ascii="Times New Roman" w:hAnsi="Times New Roman" w:cs="Times New Roman"/>
          <w:sz w:val="28"/>
          <w:szCs w:val="28"/>
          <w:vertAlign w:val="superscript"/>
        </w:rPr>
        <w:t>**</w:t>
      </w:r>
      <w:r w:rsidRPr="00935534">
        <w:rPr>
          <w:rFonts w:ascii="Times New Roman" w:hAnsi="Times New Roman" w:cs="Times New Roman"/>
          <w:sz w:val="28"/>
          <w:szCs w:val="28"/>
        </w:rPr>
        <w:t>P&lt; 0.01.</w:t>
      </w:r>
    </w:p>
    <w:p w:rsidR="0063131E" w:rsidRDefault="00CB35E6">
      <w:r w:rsidRPr="00CB35E6">
        <w:rPr>
          <w:noProof/>
        </w:rPr>
        <w:lastRenderedPageBreak/>
        <w:drawing>
          <wp:inline distT="0" distB="0" distL="0" distR="0">
            <wp:extent cx="5274310" cy="4248978"/>
            <wp:effectExtent l="0" t="0" r="2540" b="0"/>
            <wp:docPr id="3" name="图片 3" descr="C:\Users\YINZHENGXIA\Desktop\order\FQ-0045-20180912-R1\文稿\返修\CANCER MANAGEMENT AND RESEARCH\重提交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INZHENGXIA\Desktop\order\FQ-0045-20180912-R1\文稿\返修\CANCER MANAGEMENT AND RESEARCH\重提交\Figure S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131E" w:rsidSect="004155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0E12" w:rsidRDefault="00930E12" w:rsidP="00CB35E6">
      <w:r>
        <w:separator/>
      </w:r>
    </w:p>
  </w:endnote>
  <w:endnote w:type="continuationSeparator" w:id="0">
    <w:p w:rsidR="00930E12" w:rsidRDefault="00930E12" w:rsidP="00CB3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851" w:rsidRDefault="00A208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329405"/>
      <w:docPartObj>
        <w:docPartGallery w:val="Page Numbers (Bottom of Page)"/>
        <w:docPartUnique/>
      </w:docPartObj>
    </w:sdtPr>
    <w:sdtEndPr/>
    <w:sdtContent>
      <w:p w:rsidR="00ED5EFC" w:rsidRDefault="0009288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851" w:rsidRPr="00A20851">
          <w:rPr>
            <w:noProof/>
            <w:lang w:val="zh-CN"/>
          </w:rPr>
          <w:t>4</w:t>
        </w:r>
        <w:r>
          <w:fldChar w:fldCharType="end"/>
        </w:r>
      </w:p>
    </w:sdtContent>
  </w:sdt>
  <w:p w:rsidR="00ED5EFC" w:rsidRDefault="00930E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851" w:rsidRDefault="00A208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0E12" w:rsidRDefault="00930E12" w:rsidP="00CB35E6">
      <w:r>
        <w:separator/>
      </w:r>
    </w:p>
  </w:footnote>
  <w:footnote w:type="continuationSeparator" w:id="0">
    <w:p w:rsidR="00930E12" w:rsidRDefault="00930E12" w:rsidP="00CB3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851" w:rsidRDefault="00A208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851" w:rsidRDefault="00A2085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851" w:rsidRDefault="00A208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F8F"/>
    <w:rsid w:val="00092883"/>
    <w:rsid w:val="0063131E"/>
    <w:rsid w:val="00930E12"/>
    <w:rsid w:val="00A20851"/>
    <w:rsid w:val="00CB35E6"/>
    <w:rsid w:val="00CF5F8F"/>
    <w:rsid w:val="00D47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35E6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35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B35E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B35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B35E6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CB35E6"/>
  </w:style>
  <w:style w:type="paragraph" w:styleId="BalloonText">
    <w:name w:val="Balloon Text"/>
    <w:basedOn w:val="Normal"/>
    <w:link w:val="BalloonTextChar"/>
    <w:uiPriority w:val="99"/>
    <w:semiHidden/>
    <w:unhideWhenUsed/>
    <w:rsid w:val="00D470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0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2020-01-08T19:39:00Z</dcterms:created>
  <dcterms:modified xsi:type="dcterms:W3CDTF">2020-01-08T19:39:00Z</dcterms:modified>
</cp:coreProperties>
</file>