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384CE" w14:textId="77777777" w:rsidR="00BC3218" w:rsidRPr="00CD4810" w:rsidRDefault="00DA79A2" w:rsidP="0071574D">
      <w:pPr>
        <w:jc w:val="center"/>
        <w:rPr>
          <w:rFonts w:ascii="Arial" w:hAnsi="Arial" w:cs="Arial"/>
          <w:sz w:val="24"/>
          <w:szCs w:val="20"/>
          <w:lang w:val="en-US"/>
        </w:rPr>
      </w:pPr>
      <w:r w:rsidRPr="00CD4810">
        <w:rPr>
          <w:rFonts w:ascii="Arial" w:hAnsi="Arial" w:cs="Arial"/>
          <w:sz w:val="24"/>
          <w:szCs w:val="20"/>
          <w:lang w:val="en-US"/>
        </w:rPr>
        <w:t>Supplementary info</w:t>
      </w:r>
      <w:r w:rsidR="0071574D" w:rsidRPr="00CD4810">
        <w:rPr>
          <w:rFonts w:ascii="Arial" w:hAnsi="Arial" w:cs="Arial"/>
          <w:sz w:val="24"/>
          <w:szCs w:val="20"/>
          <w:lang w:val="en-US"/>
        </w:rPr>
        <w:t>rmation</w:t>
      </w:r>
    </w:p>
    <w:p w14:paraId="56EE3842" w14:textId="77777777" w:rsidR="00CD4810" w:rsidRDefault="00CD4810" w:rsidP="00CD4810">
      <w:pPr>
        <w:pStyle w:val="Heading1"/>
      </w:pPr>
      <w:r w:rsidRPr="00B42604">
        <w:t>Silver-containing titanium oxide nanocapsules for combating multidrug-resistant bacteria</w:t>
      </w:r>
    </w:p>
    <w:p w14:paraId="5D01B6A9" w14:textId="77777777" w:rsidR="00F352AA" w:rsidRDefault="00F352AA" w:rsidP="00CD4810">
      <w:pPr>
        <w:rPr>
          <w:rFonts w:ascii="Arial" w:hAnsi="Arial" w:cs="Arial"/>
          <w:sz w:val="20"/>
          <w:lang w:val="en-US"/>
        </w:rPr>
      </w:pPr>
    </w:p>
    <w:p w14:paraId="25C96589" w14:textId="77777777" w:rsidR="00F352AA" w:rsidRPr="00CD4810" w:rsidRDefault="00F352AA" w:rsidP="00CD4810">
      <w:pPr>
        <w:rPr>
          <w:rFonts w:ascii="Arial" w:hAnsi="Arial" w:cs="Arial"/>
          <w:sz w:val="20"/>
          <w:lang w:val="en-US"/>
        </w:rPr>
      </w:pPr>
    </w:p>
    <w:p w14:paraId="31EA8E20" w14:textId="77777777" w:rsidR="000E6F84" w:rsidRPr="00CD4810" w:rsidRDefault="000E6F84" w:rsidP="0039010E">
      <w:pPr>
        <w:keepNext/>
        <w:jc w:val="center"/>
        <w:rPr>
          <w:rFonts w:ascii="Arial" w:hAnsi="Arial" w:cs="Arial"/>
          <w:sz w:val="20"/>
          <w:szCs w:val="20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7B182097" wp14:editId="67A73E95">
            <wp:extent cx="3240000" cy="242199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S8ANA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" t="6253" r="4437" b="6845"/>
                    <a:stretch/>
                  </pic:blipFill>
                  <pic:spPr bwMode="auto">
                    <a:xfrm>
                      <a:off x="0" y="0"/>
                      <a:ext cx="3240000" cy="2421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B2BA8" w14:textId="57BA9DC1" w:rsidR="00AA7ACF" w:rsidRPr="00564DB3" w:rsidRDefault="000E6F84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CD4810"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1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Energy-dispersive X-ray spectrum of 8ANA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.</w:t>
      </w:r>
    </w:p>
    <w:p w14:paraId="4766A90F" w14:textId="72B9C5D6" w:rsidR="00F352AA" w:rsidRDefault="00F352AA">
      <w:pPr>
        <w:rPr>
          <w:lang w:val="en-US"/>
        </w:rPr>
      </w:pPr>
      <w:r>
        <w:rPr>
          <w:lang w:val="en-US"/>
        </w:rPr>
        <w:br w:type="page"/>
      </w:r>
    </w:p>
    <w:p w14:paraId="431CD161" w14:textId="77777777" w:rsidR="00AA7ACF" w:rsidRPr="00CD4810" w:rsidRDefault="00AA7ACF" w:rsidP="00CD4810">
      <w:pPr>
        <w:keepNext/>
        <w:spacing w:line="480" w:lineRule="auto"/>
        <w:rPr>
          <w:rFonts w:ascii="Arial" w:hAnsi="Arial" w:cs="Arial"/>
          <w:sz w:val="20"/>
          <w:szCs w:val="20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1618D28B" wp14:editId="5151CE00">
            <wp:extent cx="5760000" cy="225352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5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94224" w14:textId="1D7BDC23" w:rsidR="00AA7ACF" w:rsidRPr="00CD4810" w:rsidRDefault="00AA7ACF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CD4810"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2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="00F91F59"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Elemental analysis from EDS 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of macrophages after incubation with 8ANA. Red values in the tables are below the detection limit. J774</w:t>
      </w:r>
      <w:r w:rsidR="00A92BAC"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A.1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macrophages were incubated at 37°C overnight with particles </w:t>
      </w:r>
      <w:r w:rsid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at a 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concentration of 10 µg/mL (8ANA)</w:t>
      </w:r>
      <w:r w:rsid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.</w:t>
      </w:r>
    </w:p>
    <w:p w14:paraId="698B38FD" w14:textId="77777777" w:rsidR="00093C19" w:rsidRPr="00CD4810" w:rsidRDefault="00093C19" w:rsidP="00CD4810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CD4810">
        <w:rPr>
          <w:rFonts w:ascii="Arial" w:hAnsi="Arial" w:cs="Arial"/>
          <w:sz w:val="20"/>
          <w:szCs w:val="20"/>
          <w:lang w:val="en-US"/>
        </w:rPr>
        <w:br w:type="page"/>
      </w:r>
    </w:p>
    <w:p w14:paraId="1D1640EB" w14:textId="77777777" w:rsidR="00F91F59" w:rsidRPr="00CD4810" w:rsidRDefault="00F91F59" w:rsidP="00CD4810">
      <w:pPr>
        <w:keepNext/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4A58B5FC" wp14:editId="484A522C">
            <wp:extent cx="3960000" cy="3276000"/>
            <wp:effectExtent l="0" t="0" r="254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C52646" w14:textId="4A2BC150" w:rsidR="00F91F59" w:rsidRPr="00CD4810" w:rsidRDefault="00F91F59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CD4810"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3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="00F832F6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SEM images (a, c) and the corresponding titanium map </w:t>
      </w:r>
      <w:r w:rsidR="00F832F6">
        <w:rPr>
          <w:rFonts w:ascii="Arial" w:hAnsi="Arial" w:cs="Arial"/>
          <w:b w:val="0"/>
          <w:color w:val="auto"/>
          <w:sz w:val="20"/>
          <w:szCs w:val="20"/>
          <w:lang w:val="en-US"/>
        </w:rPr>
        <w:t>(</w:t>
      </w:r>
      <w:r w:rsidR="00F832F6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b, d) of the macrophages after incubation with 2A</w:t>
      </w:r>
      <w:r w:rsidR="00F832F6">
        <w:rPr>
          <w:rFonts w:ascii="Arial" w:hAnsi="Arial" w:cs="Arial"/>
          <w:b w:val="0"/>
          <w:color w:val="auto"/>
          <w:sz w:val="20"/>
          <w:szCs w:val="20"/>
          <w:lang w:val="en-US"/>
        </w:rPr>
        <w:t>M</w:t>
      </w:r>
      <w:r w:rsidR="00F832F6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. J774A.1 macrophages were incubated at 37°C overnight with particles </w:t>
      </w:r>
      <w:r w:rsidR="00F832F6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at a </w:t>
      </w:r>
      <w:r w:rsidR="00F832F6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concentration of 10 µg/mL (2A</w:t>
      </w:r>
      <w:r w:rsidR="00F832F6">
        <w:rPr>
          <w:rFonts w:ascii="Arial" w:hAnsi="Arial" w:cs="Arial"/>
          <w:b w:val="0"/>
          <w:color w:val="auto"/>
          <w:sz w:val="20"/>
          <w:szCs w:val="20"/>
          <w:lang w:val="en-US"/>
        </w:rPr>
        <w:t>M</w:t>
      </w:r>
      <w:r w:rsidR="00F832F6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)</w:t>
      </w:r>
      <w:r w:rsid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.</w:t>
      </w:r>
    </w:p>
    <w:p w14:paraId="6132EB2F" w14:textId="77777777" w:rsidR="00CD4810" w:rsidRPr="00CD4810" w:rsidRDefault="00CD4810" w:rsidP="00CD4810">
      <w:pPr>
        <w:rPr>
          <w:lang w:val="en-US"/>
        </w:rPr>
      </w:pPr>
    </w:p>
    <w:p w14:paraId="1B5A4065" w14:textId="77777777" w:rsidR="00F91F59" w:rsidRPr="00CD4810" w:rsidRDefault="00F91F59" w:rsidP="00CD4810">
      <w:pPr>
        <w:keepNext/>
        <w:spacing w:line="480" w:lineRule="auto"/>
        <w:rPr>
          <w:rFonts w:ascii="Arial" w:hAnsi="Arial" w:cs="Arial"/>
          <w:sz w:val="20"/>
          <w:szCs w:val="20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663F42B7" wp14:editId="23EF536E">
            <wp:extent cx="5760000" cy="233999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3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52AFF" w14:textId="37372E9D" w:rsidR="00F352AA" w:rsidRDefault="00F91F59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CD4810"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4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Elemental analysis from EDS of macrophages after incubation with 2AM. Red values in the tables are below the detection limit.</w:t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J774</w:t>
      </w:r>
      <w:r w:rsidR="00A92BAC"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A.1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macrophages were incubated at 37°C overnight with particles 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at a 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concentration of 10 µg/mL</w:t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 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(2AM)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.</w:t>
      </w:r>
    </w:p>
    <w:p w14:paraId="5B0406C3" w14:textId="77777777" w:rsidR="00F352AA" w:rsidRDefault="00F352AA">
      <w:pPr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5FC85AE2" w14:textId="77777777" w:rsidR="00F91F59" w:rsidRPr="00CD4810" w:rsidRDefault="00F91F59" w:rsidP="00CD4810">
      <w:pPr>
        <w:spacing w:line="48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2F605A7C" wp14:editId="1E7C1161">
            <wp:extent cx="3960000" cy="3277593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7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537542" w14:textId="674186A0" w:rsidR="00F91F59" w:rsidRDefault="00F91F59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CD4810"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5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SEM images </w:t>
      </w:r>
      <w:r w:rsidR="00564DB3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(a, c) </w:t>
      </w:r>
      <w:r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and the co</w:t>
      </w:r>
      <w:r w:rsidR="000913A5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rresponding titanium map 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(</w:t>
      </w:r>
      <w:r w:rsidR="00564DB3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b, d) </w:t>
      </w:r>
      <w:r w:rsidR="000913A5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of the</w:t>
      </w:r>
      <w:r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macrophages after incubation with 2ANA. J774</w:t>
      </w:r>
      <w:r w:rsidR="00A92BAC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A.1</w:t>
      </w:r>
      <w:r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macrophages were incubated at 37°C overnight with particles 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at a </w:t>
      </w:r>
      <w:r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concentration of 10 µg/mL (2ANA)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.</w:t>
      </w:r>
    </w:p>
    <w:p w14:paraId="16D04B92" w14:textId="77777777" w:rsidR="00564DB3" w:rsidRPr="00564DB3" w:rsidRDefault="00564DB3" w:rsidP="00564DB3">
      <w:pPr>
        <w:rPr>
          <w:lang w:val="en-US"/>
        </w:rPr>
      </w:pPr>
    </w:p>
    <w:p w14:paraId="30C620B2" w14:textId="77777777" w:rsidR="00F91F59" w:rsidRPr="00CD4810" w:rsidRDefault="00F91F59" w:rsidP="00CD4810">
      <w:pPr>
        <w:keepNext/>
        <w:spacing w:line="480" w:lineRule="auto"/>
        <w:rPr>
          <w:rFonts w:ascii="Arial" w:hAnsi="Arial" w:cs="Arial"/>
          <w:sz w:val="20"/>
          <w:szCs w:val="20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18B370E9" wp14:editId="36FF56BD">
            <wp:extent cx="5760000" cy="2239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3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11D96" w14:textId="64A95261" w:rsidR="00F352AA" w:rsidRDefault="00F91F59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CD4810"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6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="0039010E"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="0039010E" w:rsidRP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>Elemental analysis from EDS of macrophages after incubation with 2ANA. Red values in the tables are below the detection limit. J774</w:t>
      </w:r>
      <w:r w:rsidR="00A92BAC" w:rsidRP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>A.1</w:t>
      </w:r>
      <w:r w:rsidR="0039010E" w:rsidRP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macrophages were incubated at 37°C overnight with particles concentration of 10 µg/mL (2ANA)</w:t>
      </w:r>
      <w:r w:rsid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>.</w:t>
      </w:r>
    </w:p>
    <w:p w14:paraId="4ECA3B3D" w14:textId="77777777" w:rsidR="00F352AA" w:rsidRDefault="00F352AA">
      <w:pPr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0F8CCC2C" w14:textId="77777777" w:rsidR="0039010E" w:rsidRPr="00CD4810" w:rsidRDefault="0039010E" w:rsidP="00CD4810">
      <w:pPr>
        <w:keepNext/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7CAF5E0F" wp14:editId="6EB857A3">
            <wp:extent cx="3960000" cy="3276000"/>
            <wp:effectExtent l="0" t="0" r="254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17BFE" w14:textId="1220FE81" w:rsidR="0039010E" w:rsidRPr="00CD4810" w:rsidRDefault="0039010E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CD4810"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7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="00564DB3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SEM images (a, c) and the corresponding titanium map 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(</w:t>
      </w:r>
      <w:r w:rsidR="00564DB3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b, d) of the macrophages after incubation with 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8AM</w:t>
      </w:r>
      <w:r w:rsidR="00564DB3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. J774A.1 macrophages were incubated at 37°C overnight with particles 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at a </w:t>
      </w:r>
      <w:r w:rsidR="00564DB3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concentration of 10 µg/mL (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8AM</w:t>
      </w:r>
      <w:r w:rsidR="00564DB3" w:rsidRP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)</w:t>
      </w:r>
      <w:r w:rsidR="00564DB3">
        <w:rPr>
          <w:rFonts w:ascii="Arial" w:hAnsi="Arial" w:cs="Arial"/>
          <w:b w:val="0"/>
          <w:color w:val="auto"/>
          <w:sz w:val="20"/>
          <w:szCs w:val="20"/>
          <w:lang w:val="en-US"/>
        </w:rPr>
        <w:t>.</w:t>
      </w:r>
    </w:p>
    <w:p w14:paraId="2D7E881B" w14:textId="77777777" w:rsidR="00F91F59" w:rsidRPr="00CD4810" w:rsidRDefault="00F91F59" w:rsidP="00CD4810">
      <w:pPr>
        <w:pStyle w:val="Caption"/>
        <w:spacing w:line="480" w:lineRule="auto"/>
        <w:rPr>
          <w:rFonts w:ascii="Arial" w:hAnsi="Arial" w:cs="Arial"/>
          <w:color w:val="auto"/>
          <w:sz w:val="20"/>
          <w:szCs w:val="20"/>
          <w:lang w:val="en-US"/>
        </w:rPr>
      </w:pPr>
    </w:p>
    <w:p w14:paraId="6A383C90" w14:textId="77777777" w:rsidR="0039010E" w:rsidRPr="00CD4810" w:rsidRDefault="0039010E" w:rsidP="00CD4810">
      <w:pPr>
        <w:keepNext/>
        <w:spacing w:line="480" w:lineRule="auto"/>
        <w:rPr>
          <w:rFonts w:ascii="Arial" w:hAnsi="Arial" w:cs="Arial"/>
          <w:sz w:val="20"/>
          <w:szCs w:val="20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31070186" wp14:editId="74D24E83">
            <wp:extent cx="5760000" cy="22572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84877" w14:textId="5A2AF350" w:rsidR="00F352AA" w:rsidRDefault="0039010E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CD4810"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8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P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Elemental analysis from EDS </w:t>
      </w:r>
      <w:r w:rsid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>of</w:t>
      </w:r>
      <w:r w:rsidRP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macrophages after incubation with 8AM. Red values in the tables are below the detection limit. J774</w:t>
      </w:r>
      <w:r w:rsidR="00A92BAC" w:rsidRP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>A.1</w:t>
      </w:r>
      <w:r w:rsidRP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macrophages were incubated at 37°C overnight with particles concentration of 10 µg/mL (8AM)</w:t>
      </w:r>
      <w:r w:rsidR="001F3909">
        <w:rPr>
          <w:rFonts w:ascii="Arial" w:hAnsi="Arial" w:cs="Arial"/>
          <w:b w:val="0"/>
          <w:color w:val="auto"/>
          <w:sz w:val="20"/>
          <w:szCs w:val="20"/>
          <w:lang w:val="en-US"/>
        </w:rPr>
        <w:t>.</w:t>
      </w:r>
    </w:p>
    <w:p w14:paraId="3CC528C4" w14:textId="77777777" w:rsidR="00F352AA" w:rsidRDefault="00F352AA">
      <w:pPr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3DCB019D" w14:textId="77777777" w:rsidR="00EB0300" w:rsidRPr="00CD4810" w:rsidRDefault="00EB0300" w:rsidP="00CD4810">
      <w:pPr>
        <w:keepNext/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431AF9D1" wp14:editId="7CEE9513">
            <wp:extent cx="3960000" cy="1977518"/>
            <wp:effectExtent l="0" t="0" r="254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77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9AD17" w14:textId="6F12389E" w:rsidR="00EB0300" w:rsidRPr="00CD4810" w:rsidRDefault="00EB0300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 w:rsidRPr="00CD4810"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9</w:t>
      </w:r>
      <w:r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Pr="00BA33C5">
        <w:rPr>
          <w:rFonts w:ascii="Arial" w:hAnsi="Arial" w:cs="Arial"/>
          <w:b w:val="0"/>
          <w:color w:val="auto"/>
          <w:sz w:val="20"/>
          <w:szCs w:val="20"/>
          <w:lang w:val="en-US"/>
        </w:rPr>
        <w:t>Red blood cells are not lysed by TiO</w:t>
      </w:r>
      <w:r w:rsidRPr="00BA33C5">
        <w:rPr>
          <w:rFonts w:ascii="Arial" w:hAnsi="Arial" w:cs="Arial"/>
          <w:b w:val="0"/>
          <w:color w:val="auto"/>
          <w:sz w:val="20"/>
          <w:szCs w:val="20"/>
          <w:vertAlign w:val="subscript"/>
          <w:lang w:val="en-US"/>
        </w:rPr>
        <w:t>2</w:t>
      </w:r>
      <w:r w:rsidRPr="00BA33C5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amorphous (AM) and anatase (ANA) containing 2% (2AM, 2ANA) or 8% silver (8AM, 8ANA). Sheep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red blood cells were incubated at 37°C for 1</w:t>
      </w:r>
      <w:r w:rsidR="00C30D1C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h with different concentrations of </w:t>
      </w:r>
      <w:r w:rsidR="00BA33C5">
        <w:rPr>
          <w:rFonts w:ascii="Arial" w:hAnsi="Arial" w:cs="Arial"/>
          <w:b w:val="0"/>
          <w:color w:val="auto"/>
          <w:sz w:val="20"/>
          <w:szCs w:val="20"/>
          <w:lang w:val="en-US"/>
        </w:rPr>
        <w:t>nanocapsules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containing 2% or 8% silver. Hemolysis was quantified by spectrom</w:t>
      </w:r>
      <w:r w:rsidR="00870CA1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etry at 541 nm. Triton X-100 (0.01%, 0.1% and 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1%) was used to assess maximum red blood cell lysis. The graph shows the mean of</w:t>
      </w:r>
      <w:r w:rsidR="005C4A1D"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</w:t>
      </w:r>
      <w:r w:rsidR="000217A4">
        <w:rPr>
          <w:rFonts w:ascii="Arial" w:hAnsi="Arial" w:cs="Arial"/>
          <w:b w:val="0"/>
          <w:color w:val="auto"/>
          <w:sz w:val="20"/>
          <w:szCs w:val="20"/>
          <w:lang w:val="en-US"/>
        </w:rPr>
        <w:t>two</w:t>
      </w:r>
      <w:r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independent experiments.</w:t>
      </w:r>
    </w:p>
    <w:p w14:paraId="7E422903" w14:textId="77777777" w:rsidR="00EB0300" w:rsidRPr="00CD4810" w:rsidRDefault="00EB0300" w:rsidP="001F3909">
      <w:pPr>
        <w:keepNext/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7F8EC3A0" w14:textId="77777777" w:rsidR="00093C19" w:rsidRPr="00CD4810" w:rsidRDefault="00DA79A2" w:rsidP="00CD4810">
      <w:pPr>
        <w:keepNext/>
        <w:spacing w:line="480" w:lineRule="auto"/>
        <w:jc w:val="center"/>
        <w:rPr>
          <w:rFonts w:ascii="Arial" w:hAnsi="Arial" w:cs="Arial"/>
          <w:sz w:val="20"/>
          <w:szCs w:val="20"/>
        </w:rPr>
      </w:pPr>
      <w:r w:rsidRPr="00CD4810"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67D9E50C" wp14:editId="2D34F3F9">
            <wp:extent cx="3960000" cy="1771592"/>
            <wp:effectExtent l="0" t="0" r="254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77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3DFCA" w14:textId="5430DE3F" w:rsidR="00DA79A2" w:rsidRPr="00CD4810" w:rsidRDefault="001F3909" w:rsidP="00CD4810">
      <w:pPr>
        <w:pStyle w:val="Caption"/>
        <w:spacing w:line="480" w:lineRule="auto"/>
        <w:rPr>
          <w:rFonts w:ascii="Arial" w:hAnsi="Arial" w:cs="Arial"/>
          <w:b w:val="0"/>
          <w:color w:val="auto"/>
          <w:sz w:val="20"/>
          <w:szCs w:val="20"/>
          <w:lang w:val="en-US"/>
        </w:rPr>
      </w:pPr>
      <w:r>
        <w:rPr>
          <w:rFonts w:ascii="Arial" w:hAnsi="Arial" w:cs="Arial"/>
          <w:color w:val="auto"/>
          <w:sz w:val="20"/>
          <w:szCs w:val="20"/>
          <w:lang w:val="en-US"/>
        </w:rPr>
        <w:t>Figure S</w:t>
      </w:r>
      <w:r w:rsidR="00093C19" w:rsidRPr="00CD4810">
        <w:rPr>
          <w:rFonts w:ascii="Arial" w:hAnsi="Arial" w:cs="Arial"/>
          <w:color w:val="auto"/>
          <w:sz w:val="20"/>
          <w:szCs w:val="20"/>
        </w:rPr>
        <w:fldChar w:fldCharType="begin"/>
      </w:r>
      <w:r w:rsidR="00093C19" w:rsidRPr="00CD4810">
        <w:rPr>
          <w:rFonts w:ascii="Arial" w:hAnsi="Arial" w:cs="Arial"/>
          <w:color w:val="auto"/>
          <w:sz w:val="20"/>
          <w:szCs w:val="20"/>
          <w:lang w:val="en-US"/>
        </w:rPr>
        <w:instrText xml:space="preserve"> SEQ Figure_S \* ARABIC </w:instrText>
      </w:r>
      <w:r w:rsidR="00093C19" w:rsidRPr="00CD4810">
        <w:rPr>
          <w:rFonts w:ascii="Arial" w:hAnsi="Arial" w:cs="Arial"/>
          <w:color w:val="auto"/>
          <w:sz w:val="20"/>
          <w:szCs w:val="20"/>
        </w:rPr>
        <w:fldChar w:fldCharType="separate"/>
      </w:r>
      <w:r w:rsidR="00A800F7">
        <w:rPr>
          <w:rFonts w:ascii="Arial" w:hAnsi="Arial" w:cs="Arial"/>
          <w:noProof/>
          <w:color w:val="auto"/>
          <w:sz w:val="20"/>
          <w:szCs w:val="20"/>
          <w:lang w:val="en-US"/>
        </w:rPr>
        <w:t>10</w:t>
      </w:r>
      <w:r w:rsidR="00093C19" w:rsidRPr="00CD4810">
        <w:rPr>
          <w:rFonts w:ascii="Arial" w:hAnsi="Arial" w:cs="Arial"/>
          <w:color w:val="auto"/>
          <w:sz w:val="20"/>
          <w:szCs w:val="20"/>
        </w:rPr>
        <w:fldChar w:fldCharType="end"/>
      </w:r>
      <w:r w:rsidR="00093C19" w:rsidRPr="00CD4810">
        <w:rPr>
          <w:rFonts w:ascii="Arial" w:hAnsi="Arial" w:cs="Arial"/>
          <w:color w:val="auto"/>
          <w:sz w:val="20"/>
          <w:szCs w:val="20"/>
          <w:lang w:val="en-US"/>
        </w:rPr>
        <w:t xml:space="preserve">: </w:t>
      </w:r>
      <w:r w:rsidR="00093C19" w:rsidRPr="00903276">
        <w:rPr>
          <w:rFonts w:ascii="Arial" w:hAnsi="Arial" w:cs="Arial"/>
          <w:b w:val="0"/>
          <w:color w:val="auto"/>
          <w:sz w:val="20"/>
          <w:szCs w:val="20"/>
          <w:lang w:val="en-US"/>
        </w:rPr>
        <w:t>Cell viability of L929 fibroblasts in presence of different concentrations of amorphous and anatase TiO</w:t>
      </w:r>
      <w:r w:rsidR="00093C19" w:rsidRPr="00903276">
        <w:rPr>
          <w:rFonts w:ascii="Arial" w:hAnsi="Arial" w:cs="Arial"/>
          <w:b w:val="0"/>
          <w:color w:val="auto"/>
          <w:sz w:val="20"/>
          <w:szCs w:val="20"/>
          <w:vertAlign w:val="subscript"/>
          <w:lang w:val="en-US"/>
        </w:rPr>
        <w:t>2</w:t>
      </w:r>
      <w:r w:rsidR="00093C19" w:rsidRPr="00903276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nanocapsules with (8AM, 8ANA, 2AM, 2ANA) and without (AM, ANA) silver after 24 h. The eff</w:t>
      </w:r>
      <w:r w:rsidR="00093C19"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ect of nanocapsules was determined by MTT assay. Results are expressed relative to the untreated control, which was defined as 100%. </w:t>
      </w:r>
      <w:r w:rsidR="00225E79"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The m</w:t>
      </w:r>
      <w:r w:rsidR="00093C19"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ean </w:t>
      </w:r>
      <w:r w:rsidR="00225E79"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>and</w:t>
      </w:r>
      <w:r w:rsidR="00093C19" w:rsidRPr="00CD4810">
        <w:rPr>
          <w:rFonts w:ascii="Arial" w:hAnsi="Arial" w:cs="Arial"/>
          <w:b w:val="0"/>
          <w:color w:val="auto"/>
          <w:sz w:val="20"/>
          <w:szCs w:val="20"/>
          <w:lang w:val="en-US"/>
        </w:rPr>
        <w:t xml:space="preserve"> standard deviation from at least three independent experiments are shown.</w:t>
      </w:r>
    </w:p>
    <w:p w14:paraId="4DC8C4CF" w14:textId="77777777" w:rsidR="001F3909" w:rsidRPr="00EE26E5" w:rsidRDefault="001F3909" w:rsidP="00CD4810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4CA9C3E5" w14:textId="327A217B" w:rsidR="00B92EFD" w:rsidRDefault="00B92EFD" w:rsidP="00CD4810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271C1DBB" w14:textId="169A6D5C" w:rsidR="00391AEB" w:rsidRPr="00EC6566" w:rsidRDefault="00391AEB" w:rsidP="008719A4">
      <w:pPr>
        <w:spacing w:line="48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3D99426B" wp14:editId="73447666">
            <wp:extent cx="5691225" cy="22102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37" cy="2224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FAF0E6" w14:textId="6A03217B" w:rsidR="007E2C63" w:rsidRPr="00DF645E" w:rsidRDefault="00B92EFD" w:rsidP="007E2C63">
      <w:pPr>
        <w:pStyle w:val="VAFigureCaption"/>
        <w:jc w:val="left"/>
        <w:rPr>
          <w:rFonts w:ascii="Arial" w:hAnsi="Arial" w:cs="Arial"/>
          <w:kern w:val="2"/>
          <w:sz w:val="20"/>
        </w:rPr>
      </w:pPr>
      <w:r w:rsidRPr="008B380B">
        <w:rPr>
          <w:rFonts w:ascii="Arial" w:hAnsi="Arial" w:cs="Arial"/>
          <w:b/>
          <w:sz w:val="20"/>
        </w:rPr>
        <w:t>Figure S</w:t>
      </w:r>
      <w:r w:rsidRPr="008B380B">
        <w:rPr>
          <w:rFonts w:ascii="Arial" w:hAnsi="Arial" w:cs="Arial"/>
          <w:b/>
          <w:sz w:val="20"/>
          <w:lang w:val="fr-CH"/>
        </w:rPr>
        <w:fldChar w:fldCharType="begin"/>
      </w:r>
      <w:r w:rsidRPr="008B380B">
        <w:rPr>
          <w:rFonts w:ascii="Arial" w:hAnsi="Arial" w:cs="Arial"/>
          <w:b/>
          <w:sz w:val="20"/>
        </w:rPr>
        <w:instrText xml:space="preserve"> SEQ Figure_S \* ARABIC </w:instrText>
      </w:r>
      <w:r w:rsidRPr="008B380B">
        <w:rPr>
          <w:rFonts w:ascii="Arial" w:hAnsi="Arial" w:cs="Arial"/>
          <w:b/>
          <w:sz w:val="20"/>
          <w:lang w:val="fr-CH"/>
        </w:rPr>
        <w:fldChar w:fldCharType="separate"/>
      </w:r>
      <w:r w:rsidR="00A800F7">
        <w:rPr>
          <w:rFonts w:ascii="Arial" w:hAnsi="Arial" w:cs="Arial"/>
          <w:b/>
          <w:noProof/>
          <w:sz w:val="20"/>
        </w:rPr>
        <w:t>11</w:t>
      </w:r>
      <w:r w:rsidRPr="008B380B">
        <w:rPr>
          <w:rFonts w:ascii="Arial" w:hAnsi="Arial" w:cs="Arial"/>
          <w:b/>
          <w:sz w:val="20"/>
        </w:rPr>
        <w:fldChar w:fldCharType="end"/>
      </w:r>
      <w:r w:rsidRPr="008B380B">
        <w:rPr>
          <w:rFonts w:ascii="Arial" w:hAnsi="Arial" w:cs="Arial"/>
          <w:b/>
          <w:sz w:val="20"/>
        </w:rPr>
        <w:t xml:space="preserve">: </w:t>
      </w:r>
      <w:r w:rsidR="001440E3" w:rsidRPr="008B380B">
        <w:rPr>
          <w:rFonts w:ascii="Arial" w:hAnsi="Arial" w:cs="Arial"/>
          <w:sz w:val="20"/>
        </w:rPr>
        <w:t>Impact of Ag-TiO</w:t>
      </w:r>
      <w:r w:rsidR="001440E3" w:rsidRPr="008B380B">
        <w:rPr>
          <w:rFonts w:ascii="Arial" w:hAnsi="Arial" w:cs="Arial"/>
          <w:sz w:val="20"/>
          <w:vertAlign w:val="subscript"/>
        </w:rPr>
        <w:t>2</w:t>
      </w:r>
      <w:r w:rsidR="001440E3" w:rsidRPr="008B380B">
        <w:rPr>
          <w:rFonts w:ascii="Arial" w:hAnsi="Arial" w:cs="Arial"/>
          <w:sz w:val="20"/>
        </w:rPr>
        <w:t xml:space="preserve"> NC on viability and activation of </w:t>
      </w:r>
      <w:r w:rsidRPr="008B380B">
        <w:rPr>
          <w:rFonts w:ascii="Arial" w:hAnsi="Arial" w:cs="Arial"/>
          <w:sz w:val="20"/>
        </w:rPr>
        <w:t>bone marrow-derived dendritic cells (BMDC</w:t>
      </w:r>
      <w:r w:rsidR="007E2C63" w:rsidRPr="008B380B">
        <w:rPr>
          <w:rFonts w:ascii="Arial" w:hAnsi="Arial" w:cs="Arial"/>
          <w:sz w:val="20"/>
        </w:rPr>
        <w:t>s</w:t>
      </w:r>
      <w:r w:rsidRPr="008B380B">
        <w:rPr>
          <w:rFonts w:ascii="Arial" w:hAnsi="Arial" w:cs="Arial"/>
          <w:sz w:val="20"/>
        </w:rPr>
        <w:t>)</w:t>
      </w:r>
      <w:r w:rsidR="007E2C63" w:rsidRPr="008B380B">
        <w:rPr>
          <w:rFonts w:ascii="Arial" w:hAnsi="Arial" w:cs="Arial"/>
          <w:sz w:val="20"/>
        </w:rPr>
        <w:t xml:space="preserve">. BMDCs were </w:t>
      </w:r>
      <w:r w:rsidR="007E2C63" w:rsidRPr="008B380B">
        <w:rPr>
          <w:rFonts w:ascii="Arial" w:hAnsi="Arial" w:cs="Arial"/>
          <w:kern w:val="2"/>
          <w:sz w:val="20"/>
        </w:rPr>
        <w:t>incubated at 37 °C for 24 h with d</w:t>
      </w:r>
      <w:bookmarkStart w:id="0" w:name="_GoBack"/>
      <w:bookmarkEnd w:id="0"/>
      <w:r w:rsidR="007E2C63" w:rsidRPr="008B380B">
        <w:rPr>
          <w:rFonts w:ascii="Arial" w:hAnsi="Arial" w:cs="Arial"/>
          <w:kern w:val="2"/>
          <w:sz w:val="20"/>
        </w:rPr>
        <w:t>ifferent concentrations of Ag-TiO</w:t>
      </w:r>
      <w:r w:rsidR="007E2C63" w:rsidRPr="008B380B">
        <w:rPr>
          <w:rFonts w:ascii="Arial" w:hAnsi="Arial" w:cs="Arial"/>
          <w:kern w:val="2"/>
          <w:sz w:val="20"/>
          <w:vertAlign w:val="subscript"/>
        </w:rPr>
        <w:t>2</w:t>
      </w:r>
      <w:r w:rsidR="007E2C63" w:rsidRPr="008B380B">
        <w:rPr>
          <w:rFonts w:ascii="Arial" w:hAnsi="Arial" w:cs="Arial"/>
          <w:kern w:val="2"/>
          <w:sz w:val="20"/>
        </w:rPr>
        <w:t xml:space="preserve"> NC containing 2% silver. a) Viability was assessed with Zombie violet staining by flow cytometry. Live cell percentages refer to control cells incubated without nanocapsules.</w:t>
      </w:r>
      <w:r w:rsidR="00D67D2C" w:rsidRPr="008B380B">
        <w:rPr>
          <w:rFonts w:ascii="Arial" w:hAnsi="Arial" w:cs="Arial"/>
          <w:kern w:val="2"/>
          <w:sz w:val="20"/>
        </w:rPr>
        <w:t xml:space="preserve"> </w:t>
      </w:r>
      <w:r w:rsidR="00D714B3" w:rsidRPr="008B380B">
        <w:rPr>
          <w:rFonts w:ascii="Arial" w:hAnsi="Arial" w:cs="Arial"/>
          <w:kern w:val="2"/>
          <w:sz w:val="20"/>
        </w:rPr>
        <w:t>The only statistical significant difference is found b</w:t>
      </w:r>
      <w:r w:rsidR="001C4F1F" w:rsidRPr="008B380B">
        <w:rPr>
          <w:rFonts w:ascii="Arial" w:hAnsi="Arial" w:cs="Arial"/>
          <w:kern w:val="2"/>
          <w:sz w:val="20"/>
        </w:rPr>
        <w:t xml:space="preserve">etween </w:t>
      </w:r>
      <w:r w:rsidR="00D714B3" w:rsidRPr="008B380B">
        <w:rPr>
          <w:rFonts w:ascii="Arial" w:hAnsi="Arial" w:cs="Arial"/>
          <w:kern w:val="2"/>
          <w:sz w:val="20"/>
        </w:rPr>
        <w:t xml:space="preserve">the </w:t>
      </w:r>
      <w:r w:rsidR="001C4F1F" w:rsidRPr="008B380B">
        <w:rPr>
          <w:rFonts w:ascii="Arial" w:hAnsi="Arial" w:cs="Arial"/>
          <w:kern w:val="2"/>
          <w:sz w:val="20"/>
        </w:rPr>
        <w:t>lower concentrations</w:t>
      </w:r>
      <w:r w:rsidR="00D714B3" w:rsidRPr="008B380B">
        <w:rPr>
          <w:rFonts w:ascii="Arial" w:hAnsi="Arial" w:cs="Arial"/>
          <w:kern w:val="2"/>
          <w:sz w:val="20"/>
        </w:rPr>
        <w:t xml:space="preserve"> (2.5, 5 and 10 µg/mL)</w:t>
      </w:r>
      <w:r w:rsidR="001C4F1F" w:rsidRPr="008B380B">
        <w:rPr>
          <w:rFonts w:ascii="Arial" w:hAnsi="Arial" w:cs="Arial"/>
          <w:kern w:val="2"/>
          <w:sz w:val="20"/>
        </w:rPr>
        <w:t xml:space="preserve"> and </w:t>
      </w:r>
      <w:r w:rsidR="00D714B3" w:rsidRPr="008B380B">
        <w:rPr>
          <w:rFonts w:ascii="Arial" w:hAnsi="Arial" w:cs="Arial"/>
          <w:kern w:val="2"/>
          <w:sz w:val="20"/>
        </w:rPr>
        <w:t>the highest concentration (</w:t>
      </w:r>
      <w:r w:rsidR="001C4F1F" w:rsidRPr="008B380B">
        <w:rPr>
          <w:rFonts w:ascii="Arial" w:hAnsi="Arial" w:cs="Arial"/>
          <w:kern w:val="2"/>
          <w:sz w:val="20"/>
        </w:rPr>
        <w:t>40 µg/mL</w:t>
      </w:r>
      <w:r w:rsidR="00D714B3" w:rsidRPr="008B380B">
        <w:rPr>
          <w:rFonts w:ascii="Arial" w:hAnsi="Arial" w:cs="Arial"/>
          <w:kern w:val="2"/>
          <w:sz w:val="20"/>
        </w:rPr>
        <w:t>)</w:t>
      </w:r>
      <w:r w:rsidR="001C4F1F" w:rsidRPr="008B380B">
        <w:rPr>
          <w:rFonts w:ascii="Arial" w:hAnsi="Arial" w:cs="Arial"/>
          <w:kern w:val="2"/>
          <w:sz w:val="20"/>
        </w:rPr>
        <w:t xml:space="preserve"> of 2ANA as determined by </w:t>
      </w:r>
      <w:r w:rsidR="005E5B94" w:rsidRPr="008B380B">
        <w:rPr>
          <w:rFonts w:ascii="Arial" w:hAnsi="Arial" w:cs="Arial"/>
          <w:kern w:val="2"/>
          <w:sz w:val="20"/>
        </w:rPr>
        <w:t>two</w:t>
      </w:r>
      <w:r w:rsidR="001C4F1F" w:rsidRPr="008B380B">
        <w:rPr>
          <w:rFonts w:ascii="Arial" w:hAnsi="Arial" w:cs="Arial"/>
          <w:kern w:val="2"/>
          <w:sz w:val="20"/>
        </w:rPr>
        <w:t>-way ANOVA</w:t>
      </w:r>
      <w:r w:rsidR="00D714B3" w:rsidRPr="008B380B">
        <w:rPr>
          <w:rFonts w:ascii="Arial" w:hAnsi="Arial" w:cs="Arial"/>
          <w:kern w:val="2"/>
          <w:sz w:val="20"/>
        </w:rPr>
        <w:t xml:space="preserve"> (p</w:t>
      </w:r>
      <w:r w:rsidR="005E5B94" w:rsidRPr="008B380B">
        <w:rPr>
          <w:rFonts w:ascii="Arial" w:hAnsi="Arial" w:cs="Arial"/>
          <w:kern w:val="2"/>
          <w:sz w:val="20"/>
        </w:rPr>
        <w:t>*</w:t>
      </w:r>
      <w:r w:rsidR="00D714B3" w:rsidRPr="008B380B">
        <w:rPr>
          <w:rFonts w:ascii="Arial" w:hAnsi="Arial" w:cs="Arial"/>
          <w:kern w:val="2"/>
          <w:sz w:val="20"/>
        </w:rPr>
        <w:t>&lt;0.05)</w:t>
      </w:r>
      <w:r w:rsidR="001C4F1F" w:rsidRPr="008B380B">
        <w:rPr>
          <w:rFonts w:ascii="Arial" w:hAnsi="Arial" w:cs="Arial"/>
          <w:kern w:val="2"/>
          <w:sz w:val="20"/>
        </w:rPr>
        <w:t xml:space="preserve">. </w:t>
      </w:r>
      <w:r w:rsidR="007E2C63" w:rsidRPr="008B380B">
        <w:rPr>
          <w:rFonts w:ascii="Arial" w:hAnsi="Arial" w:cs="Arial"/>
          <w:kern w:val="2"/>
          <w:sz w:val="20"/>
        </w:rPr>
        <w:t>b) The production of the pro-inflammatory cytokine IL-6 was determined in the cell culture supernatants by ELISA. Lipopolysaccharide (LPS) was i</w:t>
      </w:r>
      <w:r w:rsidR="00772F47" w:rsidRPr="008B380B">
        <w:rPr>
          <w:rFonts w:ascii="Arial" w:hAnsi="Arial" w:cs="Arial"/>
          <w:kern w:val="2"/>
          <w:sz w:val="20"/>
        </w:rPr>
        <w:t xml:space="preserve">ncluded as positive control. </w:t>
      </w:r>
      <w:r w:rsidR="00C10849" w:rsidRPr="008B380B">
        <w:rPr>
          <w:rFonts w:ascii="Arial" w:hAnsi="Arial" w:cs="Arial"/>
          <w:kern w:val="2"/>
          <w:sz w:val="20"/>
        </w:rPr>
        <w:t xml:space="preserve">The IL-6 production by LPS </w:t>
      </w:r>
      <w:r w:rsidR="005E5B94" w:rsidRPr="008B380B">
        <w:rPr>
          <w:rFonts w:ascii="Arial" w:hAnsi="Arial" w:cs="Arial"/>
          <w:kern w:val="2"/>
          <w:sz w:val="20"/>
        </w:rPr>
        <w:t xml:space="preserve">is significantly higher </w:t>
      </w:r>
      <w:r w:rsidR="00A74F6B" w:rsidRPr="008B380B">
        <w:rPr>
          <w:rFonts w:ascii="Arial" w:hAnsi="Arial" w:cs="Arial"/>
          <w:kern w:val="2"/>
          <w:sz w:val="20"/>
        </w:rPr>
        <w:t>compared to</w:t>
      </w:r>
      <w:r w:rsidR="00C10849" w:rsidRPr="008B380B">
        <w:rPr>
          <w:rFonts w:ascii="Arial" w:hAnsi="Arial" w:cs="Arial"/>
          <w:kern w:val="2"/>
          <w:sz w:val="20"/>
        </w:rPr>
        <w:t xml:space="preserve"> </w:t>
      </w:r>
      <w:r w:rsidR="005E5B94" w:rsidRPr="008B380B">
        <w:rPr>
          <w:rFonts w:ascii="Arial" w:hAnsi="Arial" w:cs="Arial"/>
          <w:kern w:val="2"/>
          <w:sz w:val="20"/>
        </w:rPr>
        <w:t xml:space="preserve">2AM </w:t>
      </w:r>
      <w:r w:rsidR="00C10849" w:rsidRPr="008B380B">
        <w:rPr>
          <w:rFonts w:ascii="Arial" w:hAnsi="Arial" w:cs="Arial"/>
          <w:kern w:val="2"/>
          <w:sz w:val="20"/>
        </w:rPr>
        <w:t xml:space="preserve">or </w:t>
      </w:r>
      <w:r w:rsidR="005E5B94" w:rsidRPr="008B380B">
        <w:rPr>
          <w:rFonts w:ascii="Arial" w:hAnsi="Arial" w:cs="Arial"/>
          <w:kern w:val="2"/>
          <w:sz w:val="20"/>
        </w:rPr>
        <w:t xml:space="preserve">2ANA as determined by one-way ANOVA (p****&lt;0.0001). </w:t>
      </w:r>
      <w:r w:rsidR="00772F47" w:rsidRPr="008B380B">
        <w:rPr>
          <w:rFonts w:ascii="Arial" w:hAnsi="Arial" w:cs="Arial"/>
          <w:kern w:val="2"/>
          <w:sz w:val="20"/>
        </w:rPr>
        <w:t>Both</w:t>
      </w:r>
      <w:r w:rsidR="007E2C63" w:rsidRPr="008B380B">
        <w:rPr>
          <w:rFonts w:ascii="Arial" w:hAnsi="Arial" w:cs="Arial"/>
          <w:kern w:val="2"/>
          <w:sz w:val="20"/>
        </w:rPr>
        <w:t xml:space="preserve"> graphs show the mean and standard deviation of three independent experiments.</w:t>
      </w:r>
      <w:r w:rsidR="00667F3F" w:rsidRPr="008B380B">
        <w:rPr>
          <w:rFonts w:ascii="Arial" w:hAnsi="Arial" w:cs="Arial"/>
          <w:kern w:val="2"/>
          <w:sz w:val="20"/>
        </w:rPr>
        <w:t xml:space="preserve"> nd. = not detectable</w:t>
      </w:r>
      <w:r w:rsidR="005D4248" w:rsidRPr="008B380B">
        <w:rPr>
          <w:rFonts w:ascii="Arial" w:hAnsi="Arial" w:cs="Arial"/>
          <w:kern w:val="2"/>
          <w:sz w:val="20"/>
        </w:rPr>
        <w:t>.</w:t>
      </w:r>
    </w:p>
    <w:p w14:paraId="3B5C3236" w14:textId="33A263A7" w:rsidR="00635933" w:rsidRDefault="00635933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br w:type="page"/>
      </w:r>
    </w:p>
    <w:p w14:paraId="00DD1C3B" w14:textId="6718A7BC" w:rsidR="00093C19" w:rsidRPr="00E71EC5" w:rsidRDefault="00093C19" w:rsidP="00CD4810">
      <w:pPr>
        <w:spacing w:line="480" w:lineRule="auto"/>
        <w:rPr>
          <w:rFonts w:ascii="Arial" w:hAnsi="Arial" w:cs="Arial"/>
          <w:b/>
          <w:sz w:val="24"/>
          <w:szCs w:val="20"/>
          <w:lang w:val="en-US"/>
        </w:rPr>
      </w:pPr>
      <w:r w:rsidRPr="00E71EC5">
        <w:rPr>
          <w:rFonts w:ascii="Arial" w:hAnsi="Arial" w:cs="Arial"/>
          <w:b/>
          <w:sz w:val="24"/>
          <w:szCs w:val="20"/>
          <w:lang w:val="en-US"/>
        </w:rPr>
        <w:lastRenderedPageBreak/>
        <w:t xml:space="preserve">Cell culture and </w:t>
      </w:r>
      <w:r w:rsidRPr="003D2AAE">
        <w:rPr>
          <w:rFonts w:ascii="Arial" w:hAnsi="Arial" w:cs="Arial"/>
          <w:b/>
          <w:i/>
          <w:sz w:val="24"/>
          <w:szCs w:val="20"/>
          <w:lang w:val="en-US"/>
        </w:rPr>
        <w:t>in vitro</w:t>
      </w:r>
      <w:r w:rsidRPr="00E71EC5">
        <w:rPr>
          <w:rFonts w:ascii="Arial" w:hAnsi="Arial" w:cs="Arial"/>
          <w:b/>
          <w:sz w:val="24"/>
          <w:szCs w:val="20"/>
          <w:lang w:val="en-US"/>
        </w:rPr>
        <w:t xml:space="preserve"> cytotoxicity measurements</w:t>
      </w:r>
      <w:r w:rsidR="00905F61">
        <w:rPr>
          <w:rFonts w:ascii="Arial" w:hAnsi="Arial" w:cs="Arial"/>
          <w:b/>
          <w:sz w:val="24"/>
          <w:szCs w:val="20"/>
          <w:lang w:val="en-US"/>
        </w:rPr>
        <w:t xml:space="preserve"> for L-929 fibroblasts</w:t>
      </w:r>
    </w:p>
    <w:p w14:paraId="316A63CE" w14:textId="0D973B02" w:rsidR="00785686" w:rsidRPr="00CD4810" w:rsidRDefault="00093C19" w:rsidP="00CD4810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CD4810">
        <w:rPr>
          <w:rFonts w:ascii="Arial" w:hAnsi="Arial" w:cs="Arial"/>
          <w:sz w:val="20"/>
          <w:szCs w:val="20"/>
          <w:lang w:val="en-US"/>
        </w:rPr>
        <w:t xml:space="preserve">L-929 murine </w:t>
      </w:r>
      <w:r w:rsidRPr="00CD4810">
        <w:rPr>
          <w:rFonts w:ascii="Arial" w:hAnsi="Arial" w:cs="Arial"/>
          <w:sz w:val="20"/>
          <w:szCs w:val="20"/>
        </w:rPr>
        <w:t>ﬁ</w:t>
      </w:r>
      <w:r w:rsidRPr="00CD4810">
        <w:rPr>
          <w:rFonts w:ascii="Arial" w:hAnsi="Arial" w:cs="Arial"/>
          <w:sz w:val="20"/>
          <w:szCs w:val="20"/>
          <w:lang w:val="en-US"/>
        </w:rPr>
        <w:t>broblast cell</w:t>
      </w:r>
      <w:r w:rsidR="00785686" w:rsidRPr="00CD4810">
        <w:rPr>
          <w:rFonts w:ascii="Arial" w:hAnsi="Arial" w:cs="Arial"/>
          <w:sz w:val="20"/>
          <w:szCs w:val="20"/>
          <w:lang w:val="en-US"/>
        </w:rPr>
        <w:t>s</w:t>
      </w:r>
      <w:r w:rsidRPr="00CD4810">
        <w:rPr>
          <w:rFonts w:ascii="Arial" w:hAnsi="Arial" w:cs="Arial"/>
          <w:sz w:val="20"/>
          <w:szCs w:val="20"/>
          <w:lang w:val="en-US"/>
        </w:rPr>
        <w:t xml:space="preserve"> (ATCC, CCL-1) were cultured in RPMI-1640 (Gibco), supplemented with 10% heat-inactivated fetal bovine serum (GE Healthcare Life Sciences) and antibiotics (10,000 U/mL penicillin, 10 mg/mL streptomycin; Gibco). For the cytotoxicity measurements cells were seeded in 96-well culture plates at 3.1x10</w:t>
      </w:r>
      <w:r w:rsidRPr="00CD4810">
        <w:rPr>
          <w:rFonts w:ascii="Arial" w:hAnsi="Arial" w:cs="Arial"/>
          <w:sz w:val="20"/>
          <w:szCs w:val="20"/>
          <w:vertAlign w:val="superscript"/>
          <w:lang w:val="en-US"/>
        </w:rPr>
        <w:t>3</w:t>
      </w:r>
      <w:r w:rsidRPr="00CD4810">
        <w:rPr>
          <w:rFonts w:ascii="Arial" w:hAnsi="Arial" w:cs="Arial"/>
          <w:sz w:val="20"/>
          <w:szCs w:val="20"/>
          <w:lang w:val="en-US"/>
        </w:rPr>
        <w:t xml:space="preserve"> cells/cm</w:t>
      </w:r>
      <w:r w:rsidRPr="00CD4810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CD4810">
        <w:rPr>
          <w:rFonts w:ascii="Arial" w:hAnsi="Arial" w:cs="Arial"/>
          <w:sz w:val="20"/>
          <w:szCs w:val="20"/>
          <w:lang w:val="en-US"/>
        </w:rPr>
        <w:t xml:space="preserve"> density. After an overnight incubation, </w:t>
      </w:r>
      <w:r w:rsidR="00785686" w:rsidRPr="00CD4810">
        <w:rPr>
          <w:rFonts w:ascii="Arial" w:hAnsi="Arial" w:cs="Arial"/>
          <w:sz w:val="20"/>
          <w:szCs w:val="20"/>
          <w:lang w:val="en-US"/>
        </w:rPr>
        <w:t>c</w:t>
      </w:r>
      <w:r w:rsidRPr="00CD4810">
        <w:rPr>
          <w:rFonts w:ascii="Arial" w:hAnsi="Arial" w:cs="Arial"/>
          <w:sz w:val="20"/>
          <w:szCs w:val="20"/>
          <w:lang w:val="en-US"/>
        </w:rPr>
        <w:t xml:space="preserve">ells were exposed to 0.1, 1 and 10 µg/mL </w:t>
      </w:r>
      <w:r w:rsidR="00C355FB" w:rsidRPr="00CD4810">
        <w:rPr>
          <w:rFonts w:ascii="Arial" w:hAnsi="Arial" w:cs="Arial"/>
          <w:sz w:val="20"/>
          <w:szCs w:val="20"/>
          <w:lang w:val="en-US"/>
        </w:rPr>
        <w:t xml:space="preserve">nanocapsules </w:t>
      </w:r>
      <w:r w:rsidRPr="00CD4810">
        <w:rPr>
          <w:rFonts w:ascii="Arial" w:hAnsi="Arial" w:cs="Arial"/>
          <w:sz w:val="20"/>
          <w:szCs w:val="20"/>
          <w:lang w:val="en-US"/>
        </w:rPr>
        <w:t>for 1</w:t>
      </w:r>
      <w:r w:rsidR="005C715A" w:rsidRPr="00CD4810">
        <w:rPr>
          <w:rFonts w:ascii="Arial" w:hAnsi="Arial" w:cs="Arial"/>
          <w:sz w:val="20"/>
          <w:szCs w:val="20"/>
          <w:lang w:val="en-US"/>
        </w:rPr>
        <w:t xml:space="preserve"> day</w:t>
      </w:r>
      <w:r w:rsidR="00E71EC5">
        <w:rPr>
          <w:rFonts w:ascii="Arial" w:hAnsi="Arial" w:cs="Arial"/>
          <w:sz w:val="20"/>
          <w:szCs w:val="20"/>
          <w:lang w:val="en-US"/>
        </w:rPr>
        <w:t>.</w:t>
      </w:r>
    </w:p>
    <w:p w14:paraId="765D69F4" w14:textId="35BE4852" w:rsidR="00093C19" w:rsidRDefault="00093C19" w:rsidP="00CD4810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CD4810">
        <w:rPr>
          <w:rFonts w:ascii="Arial" w:hAnsi="Arial" w:cs="Arial"/>
          <w:sz w:val="20"/>
          <w:szCs w:val="20"/>
          <w:lang w:val="en-US"/>
        </w:rPr>
        <w:t xml:space="preserve">The effects of </w:t>
      </w:r>
      <w:r w:rsidR="00C355FB" w:rsidRPr="00CD4810">
        <w:rPr>
          <w:rFonts w:ascii="Arial" w:hAnsi="Arial" w:cs="Arial"/>
          <w:sz w:val="20"/>
          <w:szCs w:val="20"/>
          <w:lang w:val="en-US"/>
        </w:rPr>
        <w:t xml:space="preserve">nanocapsules </w:t>
      </w:r>
      <w:r w:rsidRPr="00CD4810">
        <w:rPr>
          <w:rFonts w:ascii="Arial" w:hAnsi="Arial" w:cs="Arial"/>
          <w:sz w:val="20"/>
          <w:szCs w:val="20"/>
          <w:lang w:val="en-US"/>
        </w:rPr>
        <w:t>were evaluated by the MTT (3-(4,5-dimethylthiazol-2-yl)-2,5-diphenyltetrazolium bromide) assay (Sigma-Aldrich</w:t>
      </w:r>
      <w:r w:rsidR="00E517D7" w:rsidRPr="00CD4810">
        <w:rPr>
          <w:rFonts w:ascii="Arial" w:hAnsi="Arial" w:cs="Arial"/>
          <w:sz w:val="20"/>
          <w:szCs w:val="20"/>
          <w:lang w:val="en-US"/>
        </w:rPr>
        <w:t>, M5655</w:t>
      </w:r>
      <w:r w:rsidRPr="00CD4810">
        <w:rPr>
          <w:rFonts w:ascii="Arial" w:hAnsi="Arial" w:cs="Arial"/>
          <w:sz w:val="20"/>
          <w:szCs w:val="20"/>
          <w:lang w:val="en-US"/>
        </w:rPr>
        <w:t>) that reports the combined effects of proliferation (number of viable cells) and cellular metabolic activity.</w:t>
      </w:r>
      <w:hyperlink w:anchor="_ENREF_1" w:tooltip="Mosmann, 1983 #273" w:history="1">
        <w:r w:rsidR="00E71EC5" w:rsidRPr="00CD4810">
          <w:rPr>
            <w:rFonts w:ascii="Arial" w:hAnsi="Arial" w:cs="Arial"/>
            <w:sz w:val="20"/>
            <w:szCs w:val="20"/>
            <w:lang w:val="en-US"/>
          </w:rPr>
          <w:fldChar w:fldCharType="begin"/>
        </w:r>
        <w:r w:rsidR="00E71EC5">
          <w:rPr>
            <w:rFonts w:ascii="Arial" w:hAnsi="Arial" w:cs="Arial"/>
            <w:sz w:val="20"/>
            <w:szCs w:val="20"/>
            <w:lang w:val="en-US"/>
          </w:rPr>
          <w:instrText xml:space="preserve"> ADDIN EN.CITE &lt;EndNote&gt;&lt;Cite&gt;&lt;Author&gt;Mosmann&lt;/Author&gt;&lt;Year&gt;1983&lt;/Year&gt;&lt;RecNum&gt;273&lt;/RecNum&gt;&lt;DisplayText&gt;&lt;style face="superscript"&gt;1&lt;/style&gt;&lt;/DisplayText&gt;&lt;record&gt;&lt;rec-number&gt;273&lt;/rec-number&gt;&lt;foreign-keys&gt;&lt;key app="EN" db-id="w2tre9avqwx0doepdpzpdtssteax0d9epvd5"&gt;273&lt;/key&gt;&lt;/foreign-keys&gt;&lt;ref-type name="Journal Article"&gt;17&lt;/ref-type&gt;&lt;contributors&gt;&lt;authors&gt;&lt;author&gt;Tim Mosmann&lt;/author&gt;&lt;/authors&gt;&lt;/contributors&gt;&lt;titles&gt;&lt;title&gt;Rapid Colorimetric Assay for Cellular Growth and Survival: Application to Proliferation and Cytotoxicity Assays&lt;/title&gt;&lt;secondary-title&gt;Journal of Immunological Methods&lt;/secondary-title&gt;&lt;/titles&gt;&lt;periodical&gt;&lt;full-title&gt;Journal of Immunological Methods&lt;/full-title&gt;&lt;/periodical&gt;&lt;pages&gt;55-63&lt;/pages&gt;&lt;volume&gt;65&lt;/volume&gt;&lt;section&gt;55&lt;/section&gt;&lt;dates&gt;&lt;year&gt;1983&lt;/year&gt;&lt;/dates&gt;&lt;urls&gt;&lt;/urls&gt;&lt;/record&gt;&lt;/Cite&gt;&lt;/EndNote&gt;</w:instrText>
        </w:r>
        <w:r w:rsidR="00E71EC5" w:rsidRPr="00CD4810">
          <w:rPr>
            <w:rFonts w:ascii="Arial" w:hAnsi="Arial" w:cs="Arial"/>
            <w:sz w:val="20"/>
            <w:szCs w:val="20"/>
            <w:lang w:val="en-US"/>
          </w:rPr>
          <w:fldChar w:fldCharType="separate"/>
        </w:r>
        <w:r w:rsidR="00E71EC5" w:rsidRPr="00E71EC5">
          <w:rPr>
            <w:rFonts w:ascii="Arial" w:hAnsi="Arial" w:cs="Arial"/>
            <w:noProof/>
            <w:sz w:val="20"/>
            <w:szCs w:val="20"/>
            <w:vertAlign w:val="superscript"/>
            <w:lang w:val="en-US"/>
          </w:rPr>
          <w:t>1</w:t>
        </w:r>
        <w:r w:rsidR="00E71EC5" w:rsidRPr="00CD4810">
          <w:rPr>
            <w:rFonts w:ascii="Arial" w:hAnsi="Arial" w:cs="Arial"/>
            <w:sz w:val="20"/>
            <w:szCs w:val="20"/>
            <w:lang w:val="en-US"/>
          </w:rPr>
          <w:fldChar w:fldCharType="end"/>
        </w:r>
      </w:hyperlink>
      <w:r w:rsidRPr="00CD4810">
        <w:rPr>
          <w:rFonts w:ascii="Arial" w:hAnsi="Arial" w:cs="Arial"/>
          <w:sz w:val="20"/>
          <w:szCs w:val="20"/>
          <w:lang w:val="en-US"/>
        </w:rPr>
        <w:t xml:space="preserve"> The assay is based on the accumulation of dark blue formazan crystals inside living cells after their exposure to MTT (10 </w:t>
      </w:r>
      <w:r w:rsidRPr="00CD4810">
        <w:rPr>
          <w:rFonts w:ascii="Arial" w:hAnsi="Arial" w:cs="Arial"/>
          <w:sz w:val="20"/>
          <w:szCs w:val="20"/>
        </w:rPr>
        <w:t>μ</w:t>
      </w:r>
      <w:r w:rsidRPr="00CD4810">
        <w:rPr>
          <w:rFonts w:ascii="Arial" w:hAnsi="Arial" w:cs="Arial"/>
          <w:sz w:val="20"/>
          <w:szCs w:val="20"/>
          <w:lang w:val="en-US"/>
        </w:rPr>
        <w:t>L of 5</w:t>
      </w:r>
      <w:r w:rsidR="00DB11D9" w:rsidRPr="00CD4810">
        <w:rPr>
          <w:rFonts w:ascii="Arial" w:hAnsi="Arial" w:cs="Arial"/>
          <w:sz w:val="20"/>
          <w:szCs w:val="20"/>
          <w:lang w:val="en-US"/>
        </w:rPr>
        <w:t xml:space="preserve"> </w:t>
      </w:r>
      <w:r w:rsidRPr="00CD4810">
        <w:rPr>
          <w:rFonts w:ascii="Arial" w:hAnsi="Arial" w:cs="Arial"/>
          <w:sz w:val="20"/>
          <w:szCs w:val="20"/>
          <w:lang w:val="en-US"/>
        </w:rPr>
        <w:t xml:space="preserve">mg/mL), which is measured spectrophotometrically by the addition of dimethylsulfoxide (DMSO, 100 </w:t>
      </w:r>
      <w:r w:rsidRPr="00CD4810">
        <w:rPr>
          <w:rFonts w:ascii="Arial" w:hAnsi="Arial" w:cs="Arial"/>
          <w:sz w:val="20"/>
          <w:szCs w:val="20"/>
        </w:rPr>
        <w:t>μ</w:t>
      </w:r>
      <w:r w:rsidRPr="00CD4810">
        <w:rPr>
          <w:rFonts w:ascii="Arial" w:hAnsi="Arial" w:cs="Arial"/>
          <w:sz w:val="20"/>
          <w:szCs w:val="20"/>
          <w:lang w:val="en-US"/>
        </w:rPr>
        <w:t xml:space="preserve">L/well, 30 min incubation at </w:t>
      </w:r>
      <w:r w:rsidR="004C442E" w:rsidRPr="00CD4810">
        <w:rPr>
          <w:rFonts w:ascii="Arial" w:hAnsi="Arial" w:cs="Arial"/>
          <w:sz w:val="20"/>
          <w:szCs w:val="20"/>
          <w:lang w:val="en-US"/>
        </w:rPr>
        <w:t xml:space="preserve">room temperature </w:t>
      </w:r>
      <w:r w:rsidRPr="00CD4810">
        <w:rPr>
          <w:rFonts w:ascii="Arial" w:hAnsi="Arial" w:cs="Arial"/>
          <w:sz w:val="20"/>
          <w:szCs w:val="20"/>
          <w:lang w:val="en-US"/>
        </w:rPr>
        <w:t>on orbital shaker) that permeabilizes the cell membrane and results in the liberation and solubilization of the formazan crystals. The formazan concentration was quantified using a multilabel plate reader (PerkinElmer VICTOR X3) by measuring the absorbance at 570 nm.</w:t>
      </w:r>
    </w:p>
    <w:p w14:paraId="1D3D772F" w14:textId="77777777" w:rsidR="00BA2739" w:rsidRDefault="00BA2739" w:rsidP="00CD4810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</w:p>
    <w:p w14:paraId="34F6A9A0" w14:textId="75D6227C" w:rsidR="00E71EC5" w:rsidRPr="00E71EC5" w:rsidRDefault="00E71EC5" w:rsidP="00CD4810">
      <w:pPr>
        <w:spacing w:line="480" w:lineRule="auto"/>
        <w:rPr>
          <w:rFonts w:ascii="Arial" w:hAnsi="Arial" w:cs="Arial"/>
          <w:b/>
          <w:sz w:val="20"/>
          <w:szCs w:val="20"/>
          <w:lang w:val="en-US"/>
        </w:rPr>
      </w:pPr>
      <w:r w:rsidRPr="00E71EC5">
        <w:rPr>
          <w:rFonts w:ascii="Arial" w:hAnsi="Arial" w:cs="Arial"/>
          <w:b/>
          <w:sz w:val="20"/>
          <w:szCs w:val="20"/>
          <w:lang w:val="en-US"/>
        </w:rPr>
        <w:t>Reference:</w:t>
      </w:r>
    </w:p>
    <w:p w14:paraId="41292BA7" w14:textId="77777777" w:rsidR="00E71EC5" w:rsidRPr="00306B2A" w:rsidRDefault="000148D6" w:rsidP="00306B2A">
      <w:pPr>
        <w:pStyle w:val="EndNoteBibliography"/>
        <w:spacing w:line="480" w:lineRule="auto"/>
        <w:ind w:left="720" w:hanging="720"/>
        <w:rPr>
          <w:rFonts w:ascii="Arial" w:hAnsi="Arial" w:cs="Arial"/>
          <w:sz w:val="20"/>
          <w:szCs w:val="20"/>
        </w:rPr>
      </w:pPr>
      <w:r w:rsidRPr="00306B2A">
        <w:rPr>
          <w:rFonts w:ascii="Arial" w:hAnsi="Arial" w:cs="Arial"/>
          <w:sz w:val="20"/>
          <w:szCs w:val="20"/>
        </w:rPr>
        <w:fldChar w:fldCharType="begin"/>
      </w:r>
      <w:r w:rsidRPr="00306B2A">
        <w:rPr>
          <w:rFonts w:ascii="Arial" w:hAnsi="Arial" w:cs="Arial"/>
          <w:sz w:val="20"/>
          <w:szCs w:val="20"/>
        </w:rPr>
        <w:instrText xml:space="preserve"> ADDIN EN.REFLIST </w:instrText>
      </w:r>
      <w:r w:rsidRPr="00306B2A">
        <w:rPr>
          <w:rFonts w:ascii="Arial" w:hAnsi="Arial" w:cs="Arial"/>
          <w:sz w:val="20"/>
          <w:szCs w:val="20"/>
        </w:rPr>
        <w:fldChar w:fldCharType="separate"/>
      </w:r>
      <w:bookmarkStart w:id="1" w:name="_ENREF_1"/>
      <w:r w:rsidR="00E71EC5" w:rsidRPr="00306B2A">
        <w:rPr>
          <w:rFonts w:ascii="Arial" w:hAnsi="Arial" w:cs="Arial"/>
          <w:sz w:val="20"/>
          <w:szCs w:val="20"/>
        </w:rPr>
        <w:t>1.</w:t>
      </w:r>
      <w:r w:rsidR="00E71EC5" w:rsidRPr="00306B2A">
        <w:rPr>
          <w:rFonts w:ascii="Arial" w:hAnsi="Arial" w:cs="Arial"/>
          <w:sz w:val="20"/>
          <w:szCs w:val="20"/>
        </w:rPr>
        <w:tab/>
        <w:t xml:space="preserve">Mosmann T. Rapid Colorimetric Assay for Cellular Growth and Survival: Application to Proliferation and Cytotoxicity Assays. </w:t>
      </w:r>
      <w:r w:rsidR="00E71EC5" w:rsidRPr="00306B2A">
        <w:rPr>
          <w:rFonts w:ascii="Arial" w:hAnsi="Arial" w:cs="Arial"/>
          <w:i/>
          <w:sz w:val="20"/>
          <w:szCs w:val="20"/>
        </w:rPr>
        <w:t xml:space="preserve">Journal of Immunological Methods. </w:t>
      </w:r>
      <w:r w:rsidR="00E71EC5" w:rsidRPr="00306B2A">
        <w:rPr>
          <w:rFonts w:ascii="Arial" w:hAnsi="Arial" w:cs="Arial"/>
          <w:sz w:val="20"/>
          <w:szCs w:val="20"/>
        </w:rPr>
        <w:t>1983;65:55-63.</w:t>
      </w:r>
      <w:bookmarkEnd w:id="1"/>
    </w:p>
    <w:p w14:paraId="78B6AD00" w14:textId="69998250" w:rsidR="00093C19" w:rsidRPr="00CD4810" w:rsidRDefault="000148D6" w:rsidP="00306B2A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306B2A">
        <w:rPr>
          <w:rFonts w:ascii="Arial" w:hAnsi="Arial" w:cs="Arial"/>
          <w:sz w:val="20"/>
          <w:szCs w:val="20"/>
          <w:lang w:val="en-US"/>
        </w:rPr>
        <w:fldChar w:fldCharType="end"/>
      </w:r>
    </w:p>
    <w:sectPr w:rsidR="00093C19" w:rsidRPr="00CD48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2EBA8E" w14:textId="77777777" w:rsidR="00DB1CD2" w:rsidRDefault="00DB1CD2" w:rsidP="005E38CC">
      <w:pPr>
        <w:spacing w:after="0" w:line="240" w:lineRule="auto"/>
      </w:pPr>
      <w:r>
        <w:separator/>
      </w:r>
    </w:p>
  </w:endnote>
  <w:endnote w:type="continuationSeparator" w:id="0">
    <w:p w14:paraId="1E5D5173" w14:textId="77777777" w:rsidR="00DB1CD2" w:rsidRDefault="00DB1CD2" w:rsidP="005E3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3DF9E" w14:textId="77777777" w:rsidR="00DB1CD2" w:rsidRDefault="00DB1CD2" w:rsidP="005E38CC">
      <w:pPr>
        <w:spacing w:after="0" w:line="240" w:lineRule="auto"/>
      </w:pPr>
      <w:r>
        <w:separator/>
      </w:r>
    </w:p>
  </w:footnote>
  <w:footnote w:type="continuationSeparator" w:id="0">
    <w:p w14:paraId="16E85835" w14:textId="77777777" w:rsidR="00DB1CD2" w:rsidRDefault="00DB1CD2" w:rsidP="005E38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DA79A2"/>
    <w:rsid w:val="000148D6"/>
    <w:rsid w:val="000217A4"/>
    <w:rsid w:val="000540F1"/>
    <w:rsid w:val="00074B57"/>
    <w:rsid w:val="000913A5"/>
    <w:rsid w:val="00092B3A"/>
    <w:rsid w:val="00093C19"/>
    <w:rsid w:val="000E6F84"/>
    <w:rsid w:val="0013494B"/>
    <w:rsid w:val="001440E3"/>
    <w:rsid w:val="00180F62"/>
    <w:rsid w:val="00181856"/>
    <w:rsid w:val="001B31EE"/>
    <w:rsid w:val="001C4F1F"/>
    <w:rsid w:val="001F3909"/>
    <w:rsid w:val="002039EF"/>
    <w:rsid w:val="00225E79"/>
    <w:rsid w:val="002312F7"/>
    <w:rsid w:val="0026272E"/>
    <w:rsid w:val="00306B2A"/>
    <w:rsid w:val="0031104A"/>
    <w:rsid w:val="00314AC5"/>
    <w:rsid w:val="00323BAB"/>
    <w:rsid w:val="0032498D"/>
    <w:rsid w:val="0034325E"/>
    <w:rsid w:val="00354902"/>
    <w:rsid w:val="0039010E"/>
    <w:rsid w:val="00391AEB"/>
    <w:rsid w:val="003B6B39"/>
    <w:rsid w:val="003C4B16"/>
    <w:rsid w:val="003D2AAE"/>
    <w:rsid w:val="004036AC"/>
    <w:rsid w:val="004A4DC0"/>
    <w:rsid w:val="004C442E"/>
    <w:rsid w:val="00564DB3"/>
    <w:rsid w:val="005809B7"/>
    <w:rsid w:val="005937E2"/>
    <w:rsid w:val="00597979"/>
    <w:rsid w:val="005C4A1D"/>
    <w:rsid w:val="005C715A"/>
    <w:rsid w:val="005D4248"/>
    <w:rsid w:val="005E38CC"/>
    <w:rsid w:val="005E5B94"/>
    <w:rsid w:val="0062339F"/>
    <w:rsid w:val="00635933"/>
    <w:rsid w:val="00650E18"/>
    <w:rsid w:val="006538C2"/>
    <w:rsid w:val="00656522"/>
    <w:rsid w:val="00667F3F"/>
    <w:rsid w:val="00676885"/>
    <w:rsid w:val="006D133C"/>
    <w:rsid w:val="0071517C"/>
    <w:rsid w:val="0071574D"/>
    <w:rsid w:val="00733B72"/>
    <w:rsid w:val="007427E1"/>
    <w:rsid w:val="00772F47"/>
    <w:rsid w:val="00783C09"/>
    <w:rsid w:val="007854A6"/>
    <w:rsid w:val="00785686"/>
    <w:rsid w:val="007C1AA3"/>
    <w:rsid w:val="007E2C63"/>
    <w:rsid w:val="007E6820"/>
    <w:rsid w:val="00870CA1"/>
    <w:rsid w:val="008719A4"/>
    <w:rsid w:val="008A2D1E"/>
    <w:rsid w:val="008A5D25"/>
    <w:rsid w:val="008B09BE"/>
    <w:rsid w:val="008B35C5"/>
    <w:rsid w:val="008B380B"/>
    <w:rsid w:val="008C054F"/>
    <w:rsid w:val="00903276"/>
    <w:rsid w:val="00905F61"/>
    <w:rsid w:val="009342F1"/>
    <w:rsid w:val="0095615E"/>
    <w:rsid w:val="009805C2"/>
    <w:rsid w:val="009B5BF1"/>
    <w:rsid w:val="009E53DD"/>
    <w:rsid w:val="00A02D85"/>
    <w:rsid w:val="00A33AC5"/>
    <w:rsid w:val="00A40BA2"/>
    <w:rsid w:val="00A74F6B"/>
    <w:rsid w:val="00A800F7"/>
    <w:rsid w:val="00A92BAC"/>
    <w:rsid w:val="00AA7973"/>
    <w:rsid w:val="00AA7ACF"/>
    <w:rsid w:val="00AB7763"/>
    <w:rsid w:val="00B56559"/>
    <w:rsid w:val="00B91953"/>
    <w:rsid w:val="00B92EFD"/>
    <w:rsid w:val="00BA2739"/>
    <w:rsid w:val="00BA33C5"/>
    <w:rsid w:val="00BA6176"/>
    <w:rsid w:val="00BC3218"/>
    <w:rsid w:val="00C10849"/>
    <w:rsid w:val="00C20650"/>
    <w:rsid w:val="00C30D1C"/>
    <w:rsid w:val="00C355FB"/>
    <w:rsid w:val="00CD4810"/>
    <w:rsid w:val="00D174D7"/>
    <w:rsid w:val="00D67D2C"/>
    <w:rsid w:val="00D714B3"/>
    <w:rsid w:val="00DA79A2"/>
    <w:rsid w:val="00DB11D9"/>
    <w:rsid w:val="00DB1CD2"/>
    <w:rsid w:val="00E14FF9"/>
    <w:rsid w:val="00E24175"/>
    <w:rsid w:val="00E517D7"/>
    <w:rsid w:val="00E71EC5"/>
    <w:rsid w:val="00EB0300"/>
    <w:rsid w:val="00EC6566"/>
    <w:rsid w:val="00EE26E5"/>
    <w:rsid w:val="00F05709"/>
    <w:rsid w:val="00F12411"/>
    <w:rsid w:val="00F17E23"/>
    <w:rsid w:val="00F352AA"/>
    <w:rsid w:val="00F832F6"/>
    <w:rsid w:val="00F91F59"/>
    <w:rsid w:val="00FF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B1F410"/>
  <w15:docId w15:val="{AE639329-64AD-4FDA-A235-554991FD6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D4810"/>
    <w:pPr>
      <w:keepNext/>
      <w:spacing w:before="240" w:after="60" w:line="48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9A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0E6F8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093C1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93C19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C19"/>
    <w:rPr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093C19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1D9"/>
    <w:rPr>
      <w:b/>
      <w:bCs/>
      <w:lang w:val="fr-C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1D9"/>
    <w:rPr>
      <w:b/>
      <w:bCs/>
      <w:sz w:val="20"/>
      <w:szCs w:val="20"/>
      <w:lang w:val="en-US"/>
    </w:rPr>
  </w:style>
  <w:style w:type="paragraph" w:customStyle="1" w:styleId="BBAuthorName">
    <w:name w:val="BB_Author_Name"/>
    <w:basedOn w:val="Normal"/>
    <w:next w:val="Normal"/>
    <w:rsid w:val="008A5D25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CD4810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E71EC5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71EC5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71EC5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71EC5"/>
    <w:rPr>
      <w:rFonts w:ascii="Calibri" w:hAnsi="Calibri"/>
      <w:noProof/>
      <w:lang w:val="en-US"/>
    </w:rPr>
  </w:style>
  <w:style w:type="paragraph" w:styleId="NormalWeb">
    <w:name w:val="Normal (Web)"/>
    <w:basedOn w:val="Normal"/>
    <w:uiPriority w:val="99"/>
    <w:semiHidden/>
    <w:unhideWhenUsed/>
    <w:rsid w:val="00B92E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paragraph" w:customStyle="1" w:styleId="VAFigureCaption">
    <w:name w:val="VA_Figure_Caption"/>
    <w:basedOn w:val="Normal"/>
    <w:next w:val="Normal"/>
    <w:rsid w:val="007E2C63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E3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8CC"/>
  </w:style>
  <w:style w:type="paragraph" w:styleId="Footer">
    <w:name w:val="footer"/>
    <w:basedOn w:val="Normal"/>
    <w:link w:val="FooterChar"/>
    <w:uiPriority w:val="99"/>
    <w:unhideWhenUsed/>
    <w:rsid w:val="005E3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EC0AF-D4E6-4507-8EA1-9CF188FCE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954</Words>
  <Characters>5444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UNIFR</Company>
  <LinksUpToDate>false</LinksUpToDate>
  <CharactersWithSpaces>6386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HERAULT Nelly</dc:creator>
  <cp:lastModifiedBy>Julia WAGNER</cp:lastModifiedBy>
  <cp:revision>105</cp:revision>
  <cp:lastPrinted>2019-12-20T09:25:00Z</cp:lastPrinted>
  <dcterms:created xsi:type="dcterms:W3CDTF">2018-08-14T15:50:00Z</dcterms:created>
  <dcterms:modified xsi:type="dcterms:W3CDTF">2019-12-20T09:26:00Z</dcterms:modified>
</cp:coreProperties>
</file>