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A6FFA" w14:textId="77777777" w:rsidR="00C45CCA" w:rsidRDefault="00C45CCA" w:rsidP="00C45CCA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5956A53B" w14:textId="77777777" w:rsidR="00C45CCA" w:rsidRPr="00930930" w:rsidRDefault="00C45CCA" w:rsidP="00C45CCA">
      <w:pPr>
        <w:rPr>
          <w:rFonts w:ascii="Times New Roman" w:hAnsi="Times New Roman" w:cs="Times New Roman"/>
          <w:sz w:val="24"/>
          <w:szCs w:val="24"/>
        </w:rPr>
      </w:pPr>
      <w:r w:rsidRPr="00FB27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Supplementary </w:t>
      </w:r>
      <w:r w:rsidRPr="00FB274D">
        <w:rPr>
          <w:rFonts w:ascii="Times New Roman" w:hAnsi="Times New Roman" w:cs="Times New Roman"/>
          <w:b/>
          <w:sz w:val="24"/>
          <w:szCs w:val="24"/>
        </w:rPr>
        <w:t>Table 1</w:t>
      </w:r>
      <w:r w:rsidRPr="00FB274D">
        <w:rPr>
          <w:rFonts w:ascii="Times New Roman" w:hAnsi="Times New Roman" w:cs="Times New Roman"/>
          <w:sz w:val="24"/>
          <w:szCs w:val="24"/>
        </w:rPr>
        <w:t>.</w:t>
      </w:r>
      <w:r w:rsidRPr="00E84DBF">
        <w:rPr>
          <w:rFonts w:ascii="Times New Roman" w:hAnsi="Times New Roman" w:cs="Times New Roman"/>
          <w:sz w:val="24"/>
          <w:szCs w:val="24"/>
        </w:rPr>
        <w:t xml:space="preserve"> The electronic searches across Embase</w:t>
      </w:r>
      <w:r w:rsidRPr="00E84DB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E84DBF">
        <w:rPr>
          <w:rFonts w:ascii="Times New Roman" w:hAnsi="Times New Roman" w:cs="Times New Roman"/>
          <w:sz w:val="24"/>
          <w:szCs w:val="24"/>
        </w:rPr>
        <w:t>, MEDLINE</w:t>
      </w:r>
      <w:r w:rsidRPr="00E84DB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E84DBF">
        <w:rPr>
          <w:rFonts w:ascii="Times New Roman" w:hAnsi="Times New Roman" w:cs="Times New Roman"/>
          <w:sz w:val="24"/>
          <w:szCs w:val="24"/>
        </w:rPr>
        <w:t>, Cochrane, and MEDLINE</w:t>
      </w:r>
      <w:r w:rsidRPr="00E84DB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E84DBF">
        <w:rPr>
          <w:rFonts w:ascii="Times New Roman" w:hAnsi="Times New Roman" w:cs="Times New Roman"/>
          <w:sz w:val="24"/>
          <w:szCs w:val="24"/>
        </w:rPr>
        <w:t xml:space="preserve"> In-Process for </w:t>
      </w:r>
      <w:r>
        <w:rPr>
          <w:rFonts w:ascii="Times New Roman" w:hAnsi="Times New Roman" w:cs="Times New Roman"/>
          <w:sz w:val="24"/>
          <w:szCs w:val="24"/>
        </w:rPr>
        <w:t>indirect evidence</w:t>
      </w:r>
    </w:p>
    <w:tbl>
      <w:tblPr>
        <w:tblpPr w:leftFromText="180" w:rightFromText="180" w:vertAnchor="text" w:tblpY="1"/>
        <w:tblOverlap w:val="never"/>
        <w:tblW w:w="4393" w:type="pct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064"/>
        <w:gridCol w:w="11191"/>
      </w:tblGrid>
      <w:tr w:rsidR="00C45CCA" w:rsidRPr="004A12A5" w14:paraId="5A480A4F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DB959" w14:textId="77777777" w:rsidR="00C45CCA" w:rsidRPr="00BB1578" w:rsidRDefault="00C45CCA" w:rsidP="00C45CCA">
            <w:pPr>
              <w:pStyle w:val="TableHeading-H56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1578">
              <w:rPr>
                <w:rFonts w:ascii="Times New Roman" w:hAnsi="Times New Roman"/>
                <w:color w:val="auto"/>
                <w:sz w:val="20"/>
                <w:szCs w:val="20"/>
              </w:rPr>
              <w:t>No.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C8144" w14:textId="77777777" w:rsidR="00C45CCA" w:rsidRPr="00BB1578" w:rsidRDefault="00C45CCA" w:rsidP="00C45CCA">
            <w:pPr>
              <w:pStyle w:val="TableHeading-H56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1578">
              <w:rPr>
                <w:rFonts w:ascii="Times New Roman" w:hAnsi="Times New Roman"/>
                <w:color w:val="auto"/>
                <w:sz w:val="20"/>
                <w:szCs w:val="20"/>
              </w:rPr>
              <w:t>Embase® and MEDLINE® searches</w:t>
            </w:r>
          </w:p>
        </w:tc>
      </w:tr>
      <w:tr w:rsidR="00C45CCA" w:rsidRPr="004A12A5" w14:paraId="1C5BB767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0552A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FE54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'chronic obstructive lung disease':ab,ti</w:t>
            </w:r>
          </w:p>
        </w:tc>
      </w:tr>
      <w:tr w:rsidR="00C45CCA" w:rsidRPr="004A12A5" w14:paraId="0DCCDC7E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79F6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AA94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'copd':ab,ti</w:t>
            </w:r>
          </w:p>
        </w:tc>
      </w:tr>
      <w:tr w:rsidR="00C45CCA" w:rsidRPr="004A12A5" w14:paraId="01508824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37D2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#3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42D0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'chronic bronchitis':ab,ti</w:t>
            </w:r>
          </w:p>
        </w:tc>
      </w:tr>
      <w:tr w:rsidR="00C45CCA" w:rsidRPr="004A12A5" w14:paraId="667D48E6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386B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#4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4EA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'emphysema':ab,ti</w:t>
            </w:r>
          </w:p>
        </w:tc>
      </w:tr>
      <w:tr w:rsidR="00C45CCA" w:rsidRPr="004A12A5" w14:paraId="18085623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29B2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#5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6DF1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(chronic* NEAR/3 bronchiti*):ab,ti</w:t>
            </w:r>
          </w:p>
        </w:tc>
      </w:tr>
      <w:tr w:rsidR="00C45CCA" w:rsidRPr="004A12A5" w14:paraId="5F8F7594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D30B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#6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B89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(obstruct* NEAR/3 (pulmonary OR lung* OR airway* OR airflow* OR bronch* OR respirat*)):ab,ti</w:t>
            </w:r>
          </w:p>
        </w:tc>
      </w:tr>
      <w:tr w:rsidR="00C45CCA" w:rsidRPr="004A12A5" w14:paraId="709F62B6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EA5F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#7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414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 OR #2 OR #3 OR #4 OR #5 OR #6</w:t>
            </w:r>
          </w:p>
        </w:tc>
      </w:tr>
      <w:tr w:rsidR="00C45CCA" w:rsidRPr="004A12A5" w14:paraId="4662B3D3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ACE1D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#8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1FAE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(#1 OR #2 OR #3 OR #4 OR #5 OR #6) AND ([cochrane review]/lim OR [systematic review]/lim OR [meta analysis]/lim)</w:t>
            </w:r>
          </w:p>
        </w:tc>
      </w:tr>
      <w:tr w:rsidR="00C45CCA" w:rsidRPr="004A12A5" w14:paraId="632456A7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98BEE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#9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A00FA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'meta-analysis'/exp</w:t>
            </w:r>
          </w:p>
        </w:tc>
      </w:tr>
      <w:tr w:rsidR="00C45CCA" w:rsidRPr="004A12A5" w14:paraId="140AE720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2AB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#10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CBDD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'meta-analy*' OR 'metanaly*' OR 'metaanaly*' OR 'met analy*' OR (('integrative research' OR 'integrative review*' OR 'integrative overview*' OR 'research integration' OR 'research overview*' OR 'collaborative review*') AND 'analys*')</w:t>
            </w:r>
          </w:p>
        </w:tc>
      </w:tr>
      <w:tr w:rsidR="00C45CCA" w:rsidRPr="004A12A5" w14:paraId="6631451B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753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#11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9A5FA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('systematic review*' OR 'systematic overview*' OR 'evidence-based review*' OR 'evidence-based overview*' OR ('evidence' NEAR/3 ('review*' OR 'overview*')) OR 'meta-review*' OR 'meta-overview*' OR 'meta-synthes*' OR 'review of reviews') AND 'analys*'</w:t>
            </w:r>
          </w:p>
        </w:tc>
      </w:tr>
      <w:tr w:rsidR="00C45CCA" w:rsidRPr="004A12A5" w14:paraId="11A80383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5079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#12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222A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'evidence report' AND 'analys*'</w:t>
            </w:r>
          </w:p>
        </w:tc>
      </w:tr>
      <w:tr w:rsidR="00C45CCA" w:rsidRPr="004A12A5" w14:paraId="7883FB61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B7DD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#13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6DB3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'network' NEAR/2 ('ma' OR 'mas')</w:t>
            </w:r>
          </w:p>
        </w:tc>
      </w:tr>
      <w:tr w:rsidR="00C45CCA" w:rsidRPr="004A12A5" w14:paraId="30277D97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FBFD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#14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2C1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'nma' OR 'nmas'</w:t>
            </w:r>
          </w:p>
        </w:tc>
      </w:tr>
      <w:tr w:rsidR="00C45CCA" w:rsidRPr="004A12A5" w14:paraId="4284905F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D58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#15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1ADC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'indirect comparison*'</w:t>
            </w:r>
          </w:p>
        </w:tc>
      </w:tr>
      <w:tr w:rsidR="00C45CCA" w:rsidRPr="004A12A5" w14:paraId="5AC9CD92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367B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>#16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E1A0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'indirect treatment*' NEAR/1 'comparison*'</w:t>
            </w:r>
          </w:p>
        </w:tc>
      </w:tr>
      <w:tr w:rsidR="00C45CCA" w:rsidRPr="004A12A5" w14:paraId="039AFAF1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02F03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#17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84FD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'mixed treatment*' NEAR/1 'comparison*'</w:t>
            </w:r>
          </w:p>
        </w:tc>
      </w:tr>
      <w:tr w:rsidR="00C45CCA" w:rsidRPr="004A12A5" w14:paraId="09DE81BF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9A63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#18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AFA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'multiple treatment*' NEAR/1 'comparison*'</w:t>
            </w:r>
          </w:p>
        </w:tc>
      </w:tr>
      <w:tr w:rsidR="00C45CCA" w:rsidRPr="004A12A5" w14:paraId="1245CFDB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3B5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#19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4DAA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'multi-treatment*' NEAR/1 'comparison*'</w:t>
            </w:r>
          </w:p>
        </w:tc>
      </w:tr>
      <w:tr w:rsidR="00C45CCA" w:rsidRPr="004A12A5" w14:paraId="0F6DD889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B01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#20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750A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'simultaneous comparison*'</w:t>
            </w:r>
          </w:p>
        </w:tc>
      </w:tr>
      <w:tr w:rsidR="00C45CCA" w:rsidRPr="004A12A5" w14:paraId="3AFA3D41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8A64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#21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FFFE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'mixed comparison*'</w:t>
            </w:r>
          </w:p>
        </w:tc>
      </w:tr>
      <w:tr w:rsidR="00C45CCA" w:rsidRPr="004A12A5" w14:paraId="3292F384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CC0C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#22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B734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#9 OR #10 OR #11 OR #12 OR #13 OR #14 OR #15 OR #16 OR #17 OR #18 OR #19 OR #20 OR #21</w:t>
            </w:r>
          </w:p>
        </w:tc>
      </w:tr>
      <w:tr w:rsidR="00C45CCA" w:rsidRPr="004A12A5" w14:paraId="53F05C05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4DEAD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#23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F76E0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#7 AND #22</w:t>
            </w:r>
          </w:p>
        </w:tc>
      </w:tr>
      <w:tr w:rsidR="00C45CCA" w:rsidRPr="004A12A5" w14:paraId="5B394491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7143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#24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769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#8 OR #23</w:t>
            </w:r>
          </w:p>
        </w:tc>
      </w:tr>
      <w:tr w:rsidR="00C45CCA" w:rsidRPr="004A12A5" w14:paraId="12F8AF47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85F4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#25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C9A4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#24 AND [animals]/lim NOT ([humans]/lim AND [animals]/lim)</w:t>
            </w:r>
          </w:p>
        </w:tc>
      </w:tr>
      <w:tr w:rsidR="00C45CCA" w:rsidRPr="004A12A5" w14:paraId="146F7AC5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903D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#26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45EA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#24 NOT #25</w:t>
            </w:r>
          </w:p>
        </w:tc>
      </w:tr>
      <w:tr w:rsidR="00C45CCA" w:rsidRPr="004A12A5" w14:paraId="0C3175C4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8C3E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#27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1F49A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#24 NOT #25 AND ([conference abstract]/lim OR [conference paper]/lim OR [conference review]/lim)</w:t>
            </w:r>
          </w:p>
        </w:tc>
      </w:tr>
      <w:tr w:rsidR="00C45CCA" w:rsidRPr="004A12A5" w14:paraId="1037F0B2" w14:textId="77777777" w:rsidTr="00C45CCA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F8E0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#28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B59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#26 NOT #27 AND [english]/lim AND [2019-2020]/py</w:t>
            </w:r>
          </w:p>
        </w:tc>
      </w:tr>
    </w:tbl>
    <w:p w14:paraId="4D198ECA" w14:textId="77777777" w:rsidR="00C45CCA" w:rsidRPr="00E84DBF" w:rsidRDefault="00C45CCA" w:rsidP="00C45C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067"/>
        <w:gridCol w:w="11193"/>
      </w:tblGrid>
      <w:tr w:rsidR="00C45CCA" w:rsidRPr="004A12A5" w14:paraId="129788A8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7C913" w14:textId="77777777" w:rsidR="00C45CCA" w:rsidRPr="004A12A5" w:rsidRDefault="00C45CCA" w:rsidP="00C45CCA">
            <w:pPr>
              <w:pStyle w:val="TableHeading-H56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A12A5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No.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9DB1C" w14:textId="77777777" w:rsidR="00C45CCA" w:rsidRPr="004A12A5" w:rsidRDefault="00C45CCA" w:rsidP="00C45CCA">
            <w:pPr>
              <w:pStyle w:val="TableHeading-H56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Cochrane searches</w:t>
            </w:r>
          </w:p>
        </w:tc>
      </w:tr>
      <w:tr w:rsidR="00C45CCA" w:rsidRPr="004A12A5" w14:paraId="63ADD8FB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2537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8220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'chronic obstructive lung disease':ab,ti</w:t>
            </w:r>
          </w:p>
        </w:tc>
      </w:tr>
      <w:tr w:rsidR="00C45CCA" w:rsidRPr="004A12A5" w14:paraId="4C46B5B2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F3B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8A2B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'copd':ab,ti</w:t>
            </w:r>
          </w:p>
        </w:tc>
      </w:tr>
      <w:tr w:rsidR="00C45CCA" w:rsidRPr="004A12A5" w14:paraId="0B351CAB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537E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0DCD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'chronic bronchitis':ab,ti</w:t>
            </w:r>
          </w:p>
        </w:tc>
      </w:tr>
      <w:tr w:rsidR="00C45CCA" w:rsidRPr="004A12A5" w14:paraId="51901E5A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989A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210ED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'emphysema':ab,ti</w:t>
            </w:r>
          </w:p>
        </w:tc>
      </w:tr>
      <w:tr w:rsidR="00C45CCA" w:rsidRPr="004A12A5" w14:paraId="00B0771E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93CC3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CC50E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(chronic* NEAR/3 bronchiti*):ab,ti</w:t>
            </w:r>
          </w:p>
        </w:tc>
      </w:tr>
      <w:tr w:rsidR="00C45CCA" w:rsidRPr="004A12A5" w14:paraId="650E700E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662E3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C5FA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(obstruct* NEAR/3 (pulmonary OR lung* OR airway* OR airflow* OR bronch* OR respirat*)):ab,ti</w:t>
            </w:r>
          </w:p>
        </w:tc>
      </w:tr>
      <w:tr w:rsidR="00C45CCA" w:rsidRPr="004A12A5" w14:paraId="11C5C72C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BE3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7F09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 OR #2 OR #3 OR #4 OR #5 OR #6</w:t>
            </w:r>
          </w:p>
        </w:tc>
      </w:tr>
      <w:tr w:rsidR="00C45CCA" w:rsidRPr="004A12A5" w14:paraId="0A61AE35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8F3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02B1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MeSH descriptor: [Meta-Analysis as Topic] explode all trees</w:t>
            </w:r>
          </w:p>
        </w:tc>
      </w:tr>
      <w:tr w:rsidR="00C45CCA" w:rsidRPr="004A12A5" w14:paraId="3F64DE86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4D81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6E2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'meta-analy*' OR 'metanaly*' OR 'metaanaly*' OR 'met analy*' OR (('integrative research' OR 'integrative review*' OR 'integrative overview*' OR 'research integration' OR 'research overview*' OR 'collaborative review*') AND 'analys*')</w:t>
            </w:r>
          </w:p>
        </w:tc>
      </w:tr>
      <w:tr w:rsidR="00C45CCA" w:rsidRPr="004A12A5" w14:paraId="6B7AA266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A22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EAC7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('systematic review*' OR 'systematic overview*' OR 'evidence-based review*' OR 'evidence-based overview*' OR ('evidence' NEAR/3 ('review*' OR 'overview*')) OR 'meta-review*' OR 'meta-overview*' OR 'meta-synthes*' OR 'review of reviews') AND 'analys*'</w:t>
            </w:r>
          </w:p>
        </w:tc>
      </w:tr>
      <w:tr w:rsidR="00C45CCA" w:rsidRPr="004A12A5" w14:paraId="015B70DA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50F1A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12F9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'evidence report' AND 'analys*'</w:t>
            </w:r>
          </w:p>
        </w:tc>
      </w:tr>
      <w:tr w:rsidR="00C45CCA" w:rsidRPr="004A12A5" w14:paraId="6C28514B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5094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B77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'network' NEAR/2 ('ma' OR 'mas')</w:t>
            </w:r>
          </w:p>
        </w:tc>
      </w:tr>
      <w:tr w:rsidR="00C45CCA" w:rsidRPr="004A12A5" w14:paraId="0E5B550C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3928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D8B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'nma' OR 'nmas'</w:t>
            </w:r>
          </w:p>
        </w:tc>
      </w:tr>
      <w:tr w:rsidR="00C45CCA" w:rsidRPr="004A12A5" w14:paraId="6669D650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772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A5CE0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MeSH descriptor: [Network meta-analysis] explode all trees</w:t>
            </w:r>
          </w:p>
        </w:tc>
      </w:tr>
      <w:tr w:rsidR="00C45CCA" w:rsidRPr="004A12A5" w14:paraId="5522A53D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C3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E2B5E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'indirect comparison*'</w:t>
            </w:r>
          </w:p>
        </w:tc>
      </w:tr>
      <w:tr w:rsidR="00C45CCA" w:rsidRPr="004A12A5" w14:paraId="099FBAC4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A0B2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740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'indirect treatment*' NEAR/1 'comparison*'</w:t>
            </w:r>
          </w:p>
        </w:tc>
      </w:tr>
      <w:tr w:rsidR="00C45CCA" w:rsidRPr="004A12A5" w14:paraId="40E47CD4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B2D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5C070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'mixed treatment*' NEAR/1 'comparison*'</w:t>
            </w:r>
          </w:p>
        </w:tc>
      </w:tr>
      <w:tr w:rsidR="00C45CCA" w:rsidRPr="004A12A5" w14:paraId="73106B30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997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>#18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D833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'multiple treatment*' NEAR/1 'comparison*'</w:t>
            </w:r>
          </w:p>
        </w:tc>
      </w:tr>
      <w:tr w:rsidR="00C45CCA" w:rsidRPr="004A12A5" w14:paraId="28915375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CFAD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FBAE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'multi-treatment*' NEAR/1 'comparison*'</w:t>
            </w:r>
          </w:p>
        </w:tc>
      </w:tr>
      <w:tr w:rsidR="00C45CCA" w:rsidRPr="004A12A5" w14:paraId="0346BF10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B83C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C103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'simultaneous comparison*'</w:t>
            </w:r>
          </w:p>
        </w:tc>
      </w:tr>
      <w:tr w:rsidR="00C45CCA" w:rsidRPr="004A12A5" w14:paraId="33977B67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C7B50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3963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'mixed comparison*'</w:t>
            </w:r>
          </w:p>
        </w:tc>
      </w:tr>
      <w:tr w:rsidR="00C45CCA" w:rsidRPr="004A12A5" w14:paraId="38E68FDF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5DEC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0799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#8 OR #9 OR #10 OR #11 OR #12 OR #13 OR #14 OR #15 OR #16 OR #17 OR #18 OR #19 OR #20 OR #21</w:t>
            </w:r>
          </w:p>
        </w:tc>
      </w:tr>
      <w:tr w:rsidR="00C45CCA" w:rsidRPr="004A12A5" w14:paraId="261E65EB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A1FF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8811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#7 AND #22</w:t>
            </w:r>
          </w:p>
        </w:tc>
      </w:tr>
      <w:tr w:rsidR="00C45CCA" w:rsidRPr="004A12A5" w14:paraId="5303CDAD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C08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0262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#23 NOT (embase):an</w:t>
            </w:r>
          </w:p>
        </w:tc>
      </w:tr>
      <w:tr w:rsidR="00C45CCA" w:rsidRPr="004A12A5" w14:paraId="6971A90E" w14:textId="77777777" w:rsidTr="00C45CCA">
        <w:trPr>
          <w:trHeight w:val="1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523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C14A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#24 [Limit: clinical answers, protocols, reviews, trials] with Cochrane Library publication date from Jan 2019 to Jan 2020</w:t>
            </w:r>
          </w:p>
        </w:tc>
      </w:tr>
    </w:tbl>
    <w:p w14:paraId="486F5C1F" w14:textId="77777777" w:rsidR="00C45CCA" w:rsidRPr="00E84DBF" w:rsidRDefault="00C45CCA" w:rsidP="00C45C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538" w:type="pct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251"/>
        <w:gridCol w:w="11408"/>
      </w:tblGrid>
      <w:tr w:rsidR="00C45CCA" w:rsidRPr="004A12A5" w14:paraId="0A13A6AA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DE98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No.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4B8D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A12A5">
              <w:rPr>
                <w:rFonts w:ascii="Times New Roman" w:hAnsi="Times New Roman"/>
                <w:color w:val="auto"/>
                <w:sz w:val="20"/>
                <w:szCs w:val="20"/>
              </w:rPr>
              <w:t>MEDLINE</w:t>
            </w:r>
            <w:r w:rsidRPr="00C7430B">
              <w:rPr>
                <w:rFonts w:ascii="Times New Roman" w:hAnsi="Times New Roman"/>
                <w:color w:val="auto"/>
                <w:sz w:val="20"/>
                <w:szCs w:val="20"/>
              </w:rPr>
              <w:t>®</w:t>
            </w:r>
            <w:r w:rsidRPr="004A12A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In-Process searches</w:t>
            </w:r>
          </w:p>
        </w:tc>
      </w:tr>
      <w:tr w:rsidR="00C45CCA" w:rsidRPr="004A12A5" w14:paraId="301A873E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D6EB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#6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7410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"chronic obstructive lung disease"[Title/Abstract]</w:t>
            </w:r>
          </w:p>
        </w:tc>
      </w:tr>
      <w:tr w:rsidR="00C45CCA" w:rsidRPr="004A12A5" w14:paraId="79C9762C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331EA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#7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900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"copd"[Title/Abstract]</w:t>
            </w:r>
          </w:p>
        </w:tc>
      </w:tr>
      <w:tr w:rsidR="00C45CCA" w:rsidRPr="004A12A5" w14:paraId="08A7BCAB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77750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#8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8FF5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"chronic bronchitis"[Title/Abstract]</w:t>
            </w:r>
          </w:p>
        </w:tc>
      </w:tr>
      <w:tr w:rsidR="00C45CCA" w:rsidRPr="004A12A5" w14:paraId="20AF39C7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D915D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#9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E5AD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"emphysema"[Title/Abstract]</w:t>
            </w:r>
          </w:p>
        </w:tc>
      </w:tr>
      <w:tr w:rsidR="00C45CCA" w:rsidRPr="004A12A5" w14:paraId="61756980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85B0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#10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517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((chronic*[Title/Abstract] AND bronchiti*[Title/Abstract]))</w:t>
            </w:r>
          </w:p>
        </w:tc>
      </w:tr>
      <w:tr w:rsidR="00C45CCA" w:rsidRPr="004A12A5" w14:paraId="42BFFE56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D30B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#11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28E7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((obstruct*[Title/Abstract] AND (pulmonary[Title/Abstract] OR lung*[Title/Abstract] OR airway*[Title/Abstract] OR airflow*[Title/Abstract] OR bronch*[Title/Abstract] OR respirat*)[Title/Abstract]))</w:t>
            </w:r>
          </w:p>
        </w:tc>
      </w:tr>
      <w:tr w:rsidR="00C45CCA" w:rsidRPr="004A12A5" w14:paraId="7652E58A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D0F4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#12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0993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(#6 OR #7 OR #8 OR #9 OR #10 OR #11)</w:t>
            </w:r>
          </w:p>
        </w:tc>
      </w:tr>
      <w:tr w:rsidR="00C45CCA" w:rsidRPr="004A12A5" w14:paraId="4690B511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CC40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#13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A6710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meta-analysis[MeSH Terms]</w:t>
            </w:r>
          </w:p>
        </w:tc>
      </w:tr>
      <w:tr w:rsidR="00C45CCA" w:rsidRPr="004A12A5" w14:paraId="0267950D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285D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#14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C53CD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((("meta-analy*" OR "metanaly*" OR "metaanaly*" OR "met analy*" OR (("integrative research" OR "integrative review*" OR "integrative overview*" OR "research integration" OR "research overview*" OR "collaborative review*") AND "analys*"))))</w:t>
            </w:r>
          </w:p>
        </w:tc>
      </w:tr>
      <w:tr w:rsidR="00C45CCA" w:rsidRPr="004A12A5" w14:paraId="2D5BDD35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C25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#15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F51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((evidence AND ("review*" OR "overview*")))</w:t>
            </w:r>
          </w:p>
        </w:tc>
      </w:tr>
      <w:tr w:rsidR="00C45CCA" w:rsidRPr="004A12A5" w14:paraId="486CF34B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104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#16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714F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((("systematic review*" OR "systematic overview*" OR "evidence-based review*" OR "evidence-based overview*" OR "meta-review*" OR "meta-overview*" OR "meta-synthes*" OR "review of reviews") AND "analys*"))</w:t>
            </w:r>
          </w:p>
        </w:tc>
      </w:tr>
      <w:tr w:rsidR="00C45CCA" w:rsidRPr="004A12A5" w14:paraId="4D3ADAFF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E65B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#17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1767A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(("evidence report" AND "analys*"))</w:t>
            </w:r>
          </w:p>
        </w:tc>
      </w:tr>
      <w:tr w:rsidR="00C45CCA" w:rsidRPr="004A12A5" w14:paraId="1A63DFD5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036B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#18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C84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(("network" AND ("ma" OR "mas")))</w:t>
            </w:r>
          </w:p>
        </w:tc>
      </w:tr>
      <w:tr w:rsidR="00C45CCA" w:rsidRPr="004A12A5" w14:paraId="6FD00FA3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EA82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#19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5955D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(("nma" OR "nmas"))</w:t>
            </w:r>
          </w:p>
        </w:tc>
      </w:tr>
      <w:tr w:rsidR="00C45CCA" w:rsidRPr="004A12A5" w14:paraId="21F5DEA8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4CDFD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#20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F1A6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"indirect comparison*"</w:t>
            </w:r>
          </w:p>
        </w:tc>
      </w:tr>
      <w:tr w:rsidR="00C45CCA" w:rsidRPr="004A12A5" w14:paraId="3BF4D899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B8DB3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#21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EE7B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(("indirect treatment*" AND "comparison*"))</w:t>
            </w:r>
          </w:p>
        </w:tc>
      </w:tr>
      <w:tr w:rsidR="00C45CCA" w:rsidRPr="004A12A5" w14:paraId="02FCAAC9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3F5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#22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040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(("mixed treatment*" AND "comparison*"))</w:t>
            </w:r>
          </w:p>
        </w:tc>
      </w:tr>
      <w:tr w:rsidR="00C45CCA" w:rsidRPr="004A12A5" w14:paraId="7559D015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0888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#23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1B282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(("multiple treatment*" AND "comparison*"))</w:t>
            </w:r>
          </w:p>
        </w:tc>
      </w:tr>
      <w:tr w:rsidR="00C45CCA" w:rsidRPr="004A12A5" w14:paraId="6351EFAB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B1F0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#24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704D9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(("multi-treatment*" AND "comparison*"))</w:t>
            </w:r>
          </w:p>
        </w:tc>
      </w:tr>
      <w:tr w:rsidR="00C45CCA" w:rsidRPr="004A12A5" w14:paraId="400ACB36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5041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#25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7C55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"simultaneous comparison*"</w:t>
            </w:r>
          </w:p>
        </w:tc>
      </w:tr>
      <w:tr w:rsidR="00C45CCA" w:rsidRPr="004A12A5" w14:paraId="6CC9C685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B566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#26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601A4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"mixed comparison*"</w:t>
            </w:r>
          </w:p>
        </w:tc>
      </w:tr>
      <w:tr w:rsidR="00C45CCA" w:rsidRPr="004A12A5" w14:paraId="4AF83CE3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1C345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#27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CF7B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(#13 OR #14 OR #15 OR #16 OR #17 OR #18 OR #19 OR #20 OR #21 OR #22 OR #23 OR #24 OR #25 OR #26)</w:t>
            </w:r>
          </w:p>
        </w:tc>
      </w:tr>
      <w:tr w:rsidR="00C45CCA" w:rsidRPr="004A12A5" w14:paraId="172D372F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4B1CC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#28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5B713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(#12 AND #27)</w:t>
            </w:r>
          </w:p>
        </w:tc>
      </w:tr>
      <w:tr w:rsidR="00C45CCA" w:rsidRPr="004A12A5" w14:paraId="50F509DC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AD367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#29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CDB48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((inprocess[sb] OR pubstatusaheadofprint))</w:t>
            </w:r>
          </w:p>
        </w:tc>
      </w:tr>
      <w:tr w:rsidR="00C45CCA" w:rsidRPr="004A12A5" w14:paraId="660B3F79" w14:textId="77777777" w:rsidTr="00C45CCA">
        <w:trPr>
          <w:trHeight w:val="2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8194F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#30</w:t>
            </w:r>
          </w:p>
        </w:tc>
        <w:tc>
          <w:tcPr>
            <w:tcW w:w="4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FCF93" w14:textId="77777777" w:rsidR="00C45CCA" w:rsidRPr="00C7430B" w:rsidRDefault="00C45CCA" w:rsidP="00C45CCA">
            <w:pPr>
              <w:pStyle w:val="TableHeading-H56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743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Search (#28 AND #29)</w:t>
            </w:r>
          </w:p>
        </w:tc>
      </w:tr>
    </w:tbl>
    <w:p w14:paraId="588EF593" w14:textId="77777777" w:rsidR="00C45CCA" w:rsidRDefault="00C45CCA" w:rsidP="00C45CCA">
      <w:pPr>
        <w:spacing w:after="24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7F6FE276" w14:textId="77777777" w:rsidR="00C45CCA" w:rsidRDefault="00C45CCA" w:rsidP="00C45CCA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14:paraId="024FD5D0" w14:textId="77777777" w:rsidR="00C45CCA" w:rsidRPr="00182F1E" w:rsidRDefault="00C45CCA" w:rsidP="00C45CCA">
      <w:pPr>
        <w:spacing w:after="24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Supplementary Table 2 </w:t>
      </w:r>
      <w:r w:rsidRPr="00182F1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Secondary and other lung function endpoints in head-to-head RCTs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20" w:firstRow="1" w:lastRow="0" w:firstColumn="0" w:lastColumn="0" w:noHBand="0" w:noVBand="1"/>
      </w:tblPr>
      <w:tblGrid>
        <w:gridCol w:w="2787"/>
        <w:gridCol w:w="2787"/>
        <w:gridCol w:w="2788"/>
        <w:gridCol w:w="2788"/>
        <w:gridCol w:w="2788"/>
      </w:tblGrid>
      <w:tr w:rsidR="00C45CCA" w:rsidRPr="00182F1E" w14:paraId="0008566C" w14:textId="77777777" w:rsidTr="00C45CCA">
        <w:trPr>
          <w:trHeight w:val="450"/>
        </w:trPr>
        <w:tc>
          <w:tcPr>
            <w:tcW w:w="1000" w:type="pct"/>
            <w:shd w:val="clear" w:color="auto" w:fill="FFFFFF" w:themeFill="background1"/>
            <w:hideMark/>
          </w:tcPr>
          <w:p w14:paraId="4BCA334D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  <w:t>Outcomes</w:t>
            </w:r>
          </w:p>
        </w:tc>
        <w:tc>
          <w:tcPr>
            <w:tcW w:w="1000" w:type="pct"/>
            <w:shd w:val="clear" w:color="auto" w:fill="FFFFFF" w:themeFill="background1"/>
            <w:hideMark/>
          </w:tcPr>
          <w:p w14:paraId="271EE74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  <w:t>AERISTO study</w:t>
            </w:r>
            <w:r w:rsidRPr="00182F1E">
              <w:rPr>
                <w:rFonts w:ascii="Times New Roman" w:eastAsia="Calibri" w:hAnsi="Times New Roman"/>
                <w:b/>
                <w:bCs/>
                <w:iCs/>
                <w:noProof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000" w:type="pct"/>
            <w:shd w:val="clear" w:color="auto" w:fill="FFFFFF" w:themeFill="background1"/>
            <w:hideMark/>
          </w:tcPr>
          <w:p w14:paraId="679BFC5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Study A2349</w:t>
            </w:r>
            <w:r w:rsidRPr="00182F1E">
              <w:rPr>
                <w:rFonts w:ascii="Times New Roman" w:hAnsi="Times New Roman"/>
                <w:b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000" w:type="pct"/>
            <w:shd w:val="clear" w:color="auto" w:fill="FFFFFF" w:themeFill="background1"/>
            <w:hideMark/>
          </w:tcPr>
          <w:p w14:paraId="662B819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Study A2350</w:t>
            </w:r>
            <w:r w:rsidRPr="00182F1E">
              <w:rPr>
                <w:rFonts w:ascii="Times New Roman" w:hAnsi="Times New Roman"/>
                <w:b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000" w:type="pct"/>
            <w:shd w:val="clear" w:color="auto" w:fill="FFFFFF" w:themeFill="background1"/>
            <w:hideMark/>
          </w:tcPr>
          <w:p w14:paraId="2E18949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Study GSK204990</w:t>
            </w:r>
            <w:r w:rsidRPr="00182F1E">
              <w:rPr>
                <w:rFonts w:ascii="Times New Roman" w:hAnsi="Times New Roman"/>
                <w:b/>
                <w:noProof/>
                <w:sz w:val="20"/>
                <w:vertAlign w:val="superscript"/>
                <w:lang w:val="en-US"/>
              </w:rPr>
              <w:t>3</w:t>
            </w:r>
          </w:p>
        </w:tc>
      </w:tr>
      <w:tr w:rsidR="00C45CCA" w:rsidRPr="00182F1E" w14:paraId="022C2A8A" w14:textId="77777777" w:rsidTr="00C45CCA">
        <w:trPr>
          <w:trHeight w:val="300"/>
        </w:trPr>
        <w:tc>
          <w:tcPr>
            <w:tcW w:w="1000" w:type="pct"/>
          </w:tcPr>
          <w:p w14:paraId="5AE8153F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Trough FEV</w:t>
            </w:r>
            <w:r w:rsidRPr="00182F1E"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  <w:t>1</w:t>
            </w:r>
          </w:p>
          <w:p w14:paraId="1483EB95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Mean (SE) change from baseline, mL</w:t>
            </w:r>
          </w:p>
          <w:p w14:paraId="23F15E24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Treatment difference, mL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[CI]</w:t>
            </w:r>
          </w:p>
        </w:tc>
        <w:tc>
          <w:tcPr>
            <w:tcW w:w="1000" w:type="pct"/>
          </w:tcPr>
          <w:p w14:paraId="7DB54897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2EAECDE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See primary endpoint table</w:t>
            </w:r>
          </w:p>
          <w:p w14:paraId="031EEDB8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(Table 2)</w:t>
            </w:r>
          </w:p>
        </w:tc>
        <w:tc>
          <w:tcPr>
            <w:tcW w:w="1000" w:type="pct"/>
          </w:tcPr>
          <w:p w14:paraId="54925F8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E683E1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GLY/IND: 189.1 (10.7)</w:t>
            </w:r>
          </w:p>
          <w:p w14:paraId="502242E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204.3 (10.7)</w:t>
            </w:r>
          </w:p>
          <w:p w14:paraId="4D6E911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 xml:space="preserve">–15.3 </w:t>
            </w:r>
          </w:p>
          <w:p w14:paraId="25C1A13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[95% CI = –36.1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5.6]</w:t>
            </w:r>
          </w:p>
          <w:p w14:paraId="105162E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Superiority was not tested as the primary endpoint was not met.</w:t>
            </w:r>
          </w:p>
          <w:p w14:paraId="1D4B7E0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Treatment difference [CI] suggests comparable treatment effect</w:t>
            </w:r>
          </w:p>
        </w:tc>
        <w:tc>
          <w:tcPr>
            <w:tcW w:w="1000" w:type="pct"/>
          </w:tcPr>
          <w:p w14:paraId="742D902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130107C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GLY/IND: 167.6 (11.1)</w:t>
            </w:r>
          </w:p>
          <w:p w14:paraId="2995549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176.7 (11.1)</w:t>
            </w:r>
          </w:p>
          <w:p w14:paraId="60DBB84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 xml:space="preserve">–9.1 </w:t>
            </w:r>
          </w:p>
          <w:p w14:paraId="6839E3F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[95% CI = –31.3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–13.1]</w:t>
            </w:r>
          </w:p>
          <w:p w14:paraId="0FEC83C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Superiority was not tested as the primary endpoint was not met.</w:t>
            </w:r>
          </w:p>
          <w:p w14:paraId="7F894B53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Treatment difference [CI] suggests comparable treatment effect</w:t>
            </w:r>
          </w:p>
        </w:tc>
        <w:tc>
          <w:tcPr>
            <w:tcW w:w="1000" w:type="pct"/>
          </w:tcPr>
          <w:p w14:paraId="511BB90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2F95D70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See primary endpoint table</w:t>
            </w:r>
          </w:p>
          <w:p w14:paraId="2267C639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(Table 2)</w:t>
            </w:r>
          </w:p>
        </w:tc>
      </w:tr>
      <w:tr w:rsidR="00C45CCA" w:rsidRPr="00182F1E" w14:paraId="31506556" w14:textId="77777777" w:rsidTr="00C45CCA">
        <w:trPr>
          <w:trHeight w:val="300"/>
        </w:trPr>
        <w:tc>
          <w:tcPr>
            <w:tcW w:w="1000" w:type="pct"/>
            <w:hideMark/>
          </w:tcPr>
          <w:p w14:paraId="73689B97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Trough FEV</w:t>
            </w:r>
            <w:r w:rsidRPr="00182F1E"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  <w:t>1</w:t>
            </w: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 xml:space="preserve"> responders</w:t>
            </w:r>
          </w:p>
          <w:p w14:paraId="0F25D730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(≥100 mL improvement)</w:t>
            </w:r>
          </w:p>
          <w:p w14:paraId="39BD0310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OR [CI]</w:t>
            </w:r>
          </w:p>
        </w:tc>
        <w:tc>
          <w:tcPr>
            <w:tcW w:w="1000" w:type="pct"/>
            <w:hideMark/>
          </w:tcPr>
          <w:p w14:paraId="232B404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82F1E">
              <w:rPr>
                <w:rFonts w:ascii="Times New Roman" w:hAnsi="Times New Roman"/>
                <w:sz w:val="20"/>
              </w:rPr>
              <w:t>Assessed 5 min post-dosing on Day 1:</w:t>
            </w:r>
          </w:p>
          <w:p w14:paraId="4D4C9D02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82F1E">
              <w:rPr>
                <w:rFonts w:ascii="Times New Roman" w:hAnsi="Times New Roman"/>
                <w:sz w:val="20"/>
              </w:rPr>
              <w:t>GLY/FOR: 60.1%</w:t>
            </w:r>
          </w:p>
          <w:p w14:paraId="0F3033B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82F1E">
              <w:rPr>
                <w:rFonts w:ascii="Times New Roman" w:hAnsi="Times New Roman"/>
                <w:sz w:val="20"/>
              </w:rPr>
              <w:t>TIO/OLO: 40.8%</w:t>
            </w:r>
          </w:p>
          <w:p w14:paraId="473BB83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82F1E">
              <w:rPr>
                <w:rFonts w:ascii="Times New Roman" w:hAnsi="Times New Roman"/>
                <w:i/>
                <w:sz w:val="20"/>
              </w:rPr>
              <w:t>2.30 (95% CI=1.79–2.95)</w:t>
            </w:r>
          </w:p>
          <w:p w14:paraId="5917B2B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</w:rPr>
              <w:t>Nominal superiority of GLY/FOR was not demonstrated</w:t>
            </w:r>
          </w:p>
        </w:tc>
        <w:tc>
          <w:tcPr>
            <w:tcW w:w="1000" w:type="pct"/>
            <w:hideMark/>
          </w:tcPr>
          <w:p w14:paraId="7D2FAC9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28FCC06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036CDA4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1FD85A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Assessed at Week 8: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UMEC/VIL: 66%</w:t>
            </w:r>
          </w:p>
          <w:p w14:paraId="75FCCDD9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TIO/OLO: 48%</w:t>
            </w:r>
          </w:p>
          <w:p w14:paraId="7E7205E7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2.05 (95% CI = 1.34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3.14)</w:t>
            </w:r>
          </w:p>
          <w:p w14:paraId="77595A7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Statistically significantly favored UMEC/VIL </w:t>
            </w:r>
          </w:p>
          <w:p w14:paraId="39EF6DB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45CCA" w:rsidRPr="00182F1E" w14:paraId="33418F36" w14:textId="77777777" w:rsidTr="00C45CCA">
        <w:trPr>
          <w:trHeight w:val="300"/>
        </w:trPr>
        <w:tc>
          <w:tcPr>
            <w:tcW w:w="1000" w:type="pct"/>
            <w:hideMark/>
          </w:tcPr>
          <w:p w14:paraId="744C7100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FEV</w:t>
            </w:r>
            <w:r w:rsidRPr="00182F1E"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  <w:t>1</w:t>
            </w: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 xml:space="preserve"> AUC</w:t>
            </w:r>
            <w:r w:rsidRPr="00182F1E"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  <w:t>0–12</w:t>
            </w:r>
          </w:p>
          <w:p w14:paraId="33980842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Mean (SE) change from baseline, mL</w:t>
            </w:r>
          </w:p>
          <w:p w14:paraId="6A819E2C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Treatment difference, mL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[CI]</w:t>
            </w:r>
          </w:p>
        </w:tc>
        <w:tc>
          <w:tcPr>
            <w:tcW w:w="1000" w:type="pct"/>
            <w:hideMark/>
          </w:tcPr>
          <w:p w14:paraId="099DE1C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8EBDA2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5B1BCC0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546DF5B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GLY/IND: 254.3 (10.3)</w:t>
            </w:r>
          </w:p>
          <w:p w14:paraId="19774B0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284.8 (10.3)</w:t>
            </w:r>
          </w:p>
          <w:p w14:paraId="108679E8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 xml:space="preserve">–30.5 </w:t>
            </w:r>
          </w:p>
          <w:p w14:paraId="11FF606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[95% CI = –49.2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>, –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11.8]</w:t>
            </w:r>
          </w:p>
          <w:p w14:paraId="0D21D57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Superiority was not tested as the primary endpoint was not met.</w:t>
            </w:r>
          </w:p>
          <w:p w14:paraId="6607EB3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Treatment difference [CI] suggests a greater treatment effect of UMEC/VIL</w:t>
            </w:r>
          </w:p>
        </w:tc>
        <w:tc>
          <w:tcPr>
            <w:tcW w:w="1000" w:type="pct"/>
            <w:hideMark/>
          </w:tcPr>
          <w:p w14:paraId="58D839E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7A33573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GLY/IND: 207.7 (10.8)</w:t>
            </w:r>
          </w:p>
          <w:p w14:paraId="1EA4FD0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249.6 (10.8)</w:t>
            </w:r>
          </w:p>
          <w:p w14:paraId="3A8C6DC8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 xml:space="preserve">–41.9 </w:t>
            </w:r>
          </w:p>
          <w:p w14:paraId="385C62E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[95% CI = –61.1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–22.7]</w:t>
            </w:r>
          </w:p>
          <w:p w14:paraId="4B4A27A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Superiority was not tested as the primary endpoint was not met.</w:t>
            </w:r>
          </w:p>
          <w:p w14:paraId="76E12529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Treatment difference [CI] suggests a greater treatment effect of UMEC/VIL</w:t>
            </w:r>
          </w:p>
        </w:tc>
        <w:tc>
          <w:tcPr>
            <w:tcW w:w="1000" w:type="pct"/>
            <w:hideMark/>
          </w:tcPr>
          <w:p w14:paraId="365B85C3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70276B0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</w:tr>
      <w:tr w:rsidR="00C45CCA" w:rsidRPr="00182F1E" w14:paraId="77070FA0" w14:textId="77777777" w:rsidTr="00C45CCA">
        <w:trPr>
          <w:trHeight w:val="300"/>
        </w:trPr>
        <w:tc>
          <w:tcPr>
            <w:tcW w:w="1000" w:type="pct"/>
            <w:hideMark/>
          </w:tcPr>
          <w:p w14:paraId="751FCFC6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FEV</w:t>
            </w:r>
            <w:r w:rsidRPr="00182F1E"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  <w:t>1</w:t>
            </w: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 xml:space="preserve"> AUC</w:t>
            </w:r>
            <w:r w:rsidRPr="00182F1E"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  <w:t>12–24</w:t>
            </w:r>
          </w:p>
          <w:p w14:paraId="6072D1DE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Mean (SE) change from baseline, mL</w:t>
            </w:r>
          </w:p>
          <w:p w14:paraId="2FEA2411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Treatment difference, mL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[CI]</w:t>
            </w:r>
          </w:p>
        </w:tc>
        <w:tc>
          <w:tcPr>
            <w:tcW w:w="1000" w:type="pct"/>
            <w:hideMark/>
          </w:tcPr>
          <w:p w14:paraId="447661A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C8D8729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2C86DF8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4D3AEBC7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GLY/IND: 207.6 (11.6)</w:t>
            </w:r>
          </w:p>
          <w:p w14:paraId="68741D0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202.5 (11.6)</w:t>
            </w:r>
          </w:p>
          <w:p w14:paraId="498AEA1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 xml:space="preserve">5.1 </w:t>
            </w:r>
          </w:p>
          <w:p w14:paraId="7144406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[95% CI = –10.8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20.9]</w:t>
            </w:r>
          </w:p>
          <w:p w14:paraId="6268E3B9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Superiority was not tested as the primary endpoint was not met.</w:t>
            </w:r>
          </w:p>
          <w:p w14:paraId="6CF524B8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Treatment difference [CI] suggests comparable treatment effect</w:t>
            </w:r>
          </w:p>
        </w:tc>
        <w:tc>
          <w:tcPr>
            <w:tcW w:w="1000" w:type="pct"/>
            <w:hideMark/>
          </w:tcPr>
          <w:p w14:paraId="138E91F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5F838D8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GLY/IND: 162.5 (12.2)</w:t>
            </w:r>
          </w:p>
          <w:p w14:paraId="54D915C2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153.9 (12.1)</w:t>
            </w:r>
          </w:p>
          <w:p w14:paraId="2724A9A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8.6 [95% CI = –8.6, 25.8]</w:t>
            </w:r>
          </w:p>
          <w:p w14:paraId="448CBD3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Superiority was not tested as the primary endpoint was not met.</w:t>
            </w:r>
          </w:p>
          <w:p w14:paraId="6643A92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Treatment difference [CI] suggests comparable treatment effect</w:t>
            </w:r>
          </w:p>
        </w:tc>
        <w:tc>
          <w:tcPr>
            <w:tcW w:w="1000" w:type="pct"/>
            <w:hideMark/>
          </w:tcPr>
          <w:p w14:paraId="4CBCB2D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7E25464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</w:tr>
      <w:tr w:rsidR="00C45CCA" w:rsidRPr="00182F1E" w14:paraId="5AF67FEB" w14:textId="77777777" w:rsidTr="00C45CCA">
        <w:trPr>
          <w:trHeight w:val="300"/>
        </w:trPr>
        <w:tc>
          <w:tcPr>
            <w:tcW w:w="1000" w:type="pct"/>
            <w:hideMark/>
          </w:tcPr>
          <w:p w14:paraId="64EF5F8A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Trough FVC</w:t>
            </w:r>
          </w:p>
          <w:p w14:paraId="4E31190F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Mean (SE) change from baseline, mL</w:t>
            </w:r>
          </w:p>
          <w:p w14:paraId="4C9B2BD1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Treatment difference, mL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[CI]</w:t>
            </w:r>
          </w:p>
        </w:tc>
        <w:tc>
          <w:tcPr>
            <w:tcW w:w="1000" w:type="pct"/>
            <w:hideMark/>
          </w:tcPr>
          <w:p w14:paraId="77ECC2D2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50FAE09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GLY/FOR: 96.7 (18.4)</w:t>
            </w:r>
          </w:p>
          <w:p w14:paraId="43869C5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211.2 (18.5)</w:t>
            </w:r>
          </w:p>
          <w:p w14:paraId="1E291BF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–114.5 </w:t>
            </w:r>
          </w:p>
          <w:p w14:paraId="2A21879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[95% CI = –157.1, –71.9]</w:t>
            </w:r>
          </w:p>
          <w:p w14:paraId="635BE86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Greater treatment effect demonstrated by </w:t>
            </w:r>
            <w:r>
              <w:t xml:space="preserve"> </w:t>
            </w:r>
            <w:r w:rsidRPr="00E80A7D">
              <w:rPr>
                <w:rFonts w:ascii="Times New Roman" w:hAnsi="Times New Roman"/>
                <w:sz w:val="20"/>
                <w:lang w:val="en-US"/>
              </w:rPr>
              <w:t>UMEC/VIL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 over 24</w:t>
            </w:r>
            <w:r>
              <w:rPr>
                <w:rFonts w:ascii="Times New Roman" w:hAnsi="Times New Roman"/>
                <w:sz w:val="20"/>
                <w:lang w:val="en-US"/>
              </w:rPr>
              <w:t> 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>weeks</w:t>
            </w:r>
            <w:r w:rsidRPr="00182F1E">
              <w:rPr>
                <w:rFonts w:ascii="Times New Roman" w:hAnsi="Times New Roman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1000" w:type="pct"/>
            <w:hideMark/>
          </w:tcPr>
          <w:p w14:paraId="57EE8503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7471B1A2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48B8831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698B0C0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165A8673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29E4ABF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202 (18)</w:t>
            </w:r>
          </w:p>
          <w:p w14:paraId="44A4FEF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TIO/OLO: 135 (18)</w:t>
            </w:r>
          </w:p>
          <w:p w14:paraId="08D5147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 xml:space="preserve">67 </w:t>
            </w:r>
          </w:p>
          <w:p w14:paraId="717F7D9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[95% CI = 34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100]</w:t>
            </w:r>
          </w:p>
          <w:p w14:paraId="4302BC1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Statistical significan</w:t>
            </w:r>
            <w:r>
              <w:rPr>
                <w:rFonts w:ascii="Times New Roman" w:hAnsi="Times New Roman"/>
                <w:sz w:val="20"/>
                <w:lang w:val="en-US"/>
              </w:rPr>
              <w:t>ce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 favored UMEC/VIL </w:t>
            </w:r>
          </w:p>
        </w:tc>
      </w:tr>
      <w:tr w:rsidR="00C45CCA" w:rsidRPr="00182F1E" w14:paraId="79412735" w14:textId="77777777" w:rsidTr="00C45CCA">
        <w:trPr>
          <w:trHeight w:val="300"/>
        </w:trPr>
        <w:tc>
          <w:tcPr>
            <w:tcW w:w="1000" w:type="pct"/>
          </w:tcPr>
          <w:p w14:paraId="3D9631BD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IC</w:t>
            </w:r>
          </w:p>
          <w:p w14:paraId="45FEF18F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Peak change from baseline within 2 hours post-dosing, mL (SE)</w:t>
            </w:r>
          </w:p>
          <w:p w14:paraId="6085C2E1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Treatment difference, mL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[CI]</w:t>
            </w:r>
          </w:p>
        </w:tc>
        <w:tc>
          <w:tcPr>
            <w:tcW w:w="1000" w:type="pct"/>
          </w:tcPr>
          <w:p w14:paraId="069219F8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u w:val="single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u w:val="single"/>
                <w:lang w:val="en-US"/>
              </w:rPr>
              <w:t>PP:</w:t>
            </w:r>
          </w:p>
          <w:p w14:paraId="2DFAE59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GLY/FOR: 363.1 (15.5)</w:t>
            </w:r>
          </w:p>
          <w:p w14:paraId="0D47531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378.3 (15.6)</w:t>
            </w:r>
          </w:p>
          <w:p w14:paraId="044B3C6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–15.2</w:t>
            </w:r>
          </w:p>
          <w:p w14:paraId="5559D55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[95% CI = –53.4, 22.9]</w:t>
            </w:r>
          </w:p>
          <w:p w14:paraId="725B8B0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NI of GLY/FOR not demonstrated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br/>
              <w:t>(NI margin –50 mL)</w:t>
            </w:r>
          </w:p>
          <w:p w14:paraId="3CF2875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u w:val="single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u w:val="single"/>
                <w:lang w:val="en-US"/>
              </w:rPr>
              <w:t>FAS:</w:t>
            </w:r>
          </w:p>
          <w:p w14:paraId="3F3F7DD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GLY/FOR: 372.0 (14.9)</w:t>
            </w:r>
          </w:p>
          <w:p w14:paraId="01CC258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384.7 (14.9)</w:t>
            </w:r>
          </w:p>
          <w:p w14:paraId="0FC9A11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–12.7</w:t>
            </w:r>
          </w:p>
          <w:p w14:paraId="453697E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[95% CI = –49.8, 24.3]</w:t>
            </w:r>
          </w:p>
          <w:p w14:paraId="5A6F2707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Nominal non-inferiority was demonstrated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(NI margin –50 mL)</w:t>
            </w:r>
          </w:p>
        </w:tc>
        <w:tc>
          <w:tcPr>
            <w:tcW w:w="1000" w:type="pct"/>
          </w:tcPr>
          <w:p w14:paraId="75391FC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2B849572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1865F7F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1AE7093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2C58485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51DBD32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</w:tr>
      <w:tr w:rsidR="00C45CCA" w:rsidRPr="00182F1E" w14:paraId="4F247D20" w14:textId="77777777" w:rsidTr="00C45CCA">
        <w:trPr>
          <w:trHeight w:val="300"/>
        </w:trPr>
        <w:tc>
          <w:tcPr>
            <w:tcW w:w="1000" w:type="pct"/>
            <w:hideMark/>
          </w:tcPr>
          <w:p w14:paraId="538A0F7E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Trough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IC</w:t>
            </w:r>
          </w:p>
          <w:p w14:paraId="72813CB2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Mean change from baseline, mL (SE)</w:t>
            </w:r>
          </w:p>
          <w:p w14:paraId="63027664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Treatment difference, mL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[CI]</w:t>
            </w:r>
          </w:p>
        </w:tc>
        <w:tc>
          <w:tcPr>
            <w:tcW w:w="1000" w:type="pct"/>
            <w:hideMark/>
          </w:tcPr>
          <w:p w14:paraId="7084D2BC" w14:textId="77777777" w:rsidR="00C45CCA" w:rsidRPr="00182F1E" w:rsidRDefault="00C45CCA" w:rsidP="00C45CCA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32957287" w14:textId="77777777" w:rsidR="00C45CCA" w:rsidRPr="00182F1E" w:rsidRDefault="00C45CCA" w:rsidP="00C45CCA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2A57852D" w14:textId="77777777" w:rsidR="00C45CCA" w:rsidRPr="00182F1E" w:rsidRDefault="00C45CCA" w:rsidP="00C45CCA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7A9CEAE8" w14:textId="77777777" w:rsidR="00C45CCA" w:rsidRPr="00182F1E" w:rsidRDefault="00C45CCA" w:rsidP="00C45CCA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70ECC522" w14:textId="77777777" w:rsidR="00C45CCA" w:rsidRPr="00182F1E" w:rsidRDefault="00C45CCA" w:rsidP="00C45CCA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4653971F" w14:textId="77777777" w:rsidR="00C45CCA" w:rsidRPr="00182F1E" w:rsidRDefault="00C45CCA" w:rsidP="00C45CCA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  <w:hideMark/>
          </w:tcPr>
          <w:p w14:paraId="0FD95E2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20FDA223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169 (17)</w:t>
            </w:r>
          </w:p>
          <w:p w14:paraId="3D41D362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TIO/OLO: 122 (17)</w:t>
            </w:r>
          </w:p>
          <w:p w14:paraId="2157390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 xml:space="preserve">47 </w:t>
            </w:r>
          </w:p>
          <w:p w14:paraId="2A34C1D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[95% CI = 14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81]</w:t>
            </w:r>
          </w:p>
          <w:p w14:paraId="44FD940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Statistical significan</w:t>
            </w:r>
            <w:r>
              <w:rPr>
                <w:rFonts w:ascii="Times New Roman" w:hAnsi="Times New Roman"/>
                <w:sz w:val="20"/>
                <w:lang w:val="en-US"/>
              </w:rPr>
              <w:t>ce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 favored UMEC/VIL </w:t>
            </w:r>
          </w:p>
        </w:tc>
      </w:tr>
    </w:tbl>
    <w:p w14:paraId="45E11163" w14:textId="77777777" w:rsidR="00C45CCA" w:rsidRPr="00182F1E" w:rsidRDefault="00C45CCA" w:rsidP="00C45CCA">
      <w:pPr>
        <w:spacing w:line="360" w:lineRule="auto"/>
        <w:rPr>
          <w:rFonts w:ascii="Times New Roman" w:hAnsi="Times New Roman"/>
          <w:sz w:val="20"/>
          <w:szCs w:val="20"/>
          <w:lang w:val="en-US"/>
        </w:rPr>
      </w:pPr>
      <w:r w:rsidRPr="00182F1E">
        <w:rPr>
          <w:rFonts w:ascii="Times New Roman" w:hAnsi="Times New Roman"/>
          <w:sz w:val="20"/>
          <w:szCs w:val="20"/>
          <w:vertAlign w:val="superscript"/>
          <w:lang w:val="en-US"/>
        </w:rPr>
        <w:t>a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 xml:space="preserve">Primary analysis was performed in the PP population; results were consistent in the FAS population; </w:t>
      </w:r>
      <w:r w:rsidRPr="00182F1E">
        <w:rPr>
          <w:rFonts w:ascii="Times New Roman" w:hAnsi="Times New Roman"/>
          <w:sz w:val="20"/>
          <w:szCs w:val="20"/>
          <w:lang w:val="en-US"/>
        </w:rPr>
        <w:t>Data for each study are reported at the end of the study unless otherwise indicated (24 weeks in AERISTO; 12 weeks in Study A2349 and Study A2350; 8 weeks in Study GSK204990).</w:t>
      </w:r>
    </w:p>
    <w:p w14:paraId="6664D7DB" w14:textId="77777777" w:rsidR="00C45CCA" w:rsidRPr="00182F1E" w:rsidRDefault="00C45CCA" w:rsidP="00C45CCA">
      <w:pPr>
        <w:spacing w:line="360" w:lineRule="auto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AUC</w:t>
      </w:r>
      <w:r w:rsidRPr="00182F1E">
        <w:rPr>
          <w:rFonts w:ascii="Times New Roman" w:eastAsia="Calibri" w:hAnsi="Times New Roman" w:cs="Times New Roman"/>
          <w:bCs/>
          <w:sz w:val="20"/>
          <w:szCs w:val="20"/>
          <w:vertAlign w:val="subscript"/>
          <w:lang w:val="en-US"/>
        </w:rPr>
        <w:t>0–12</w:t>
      </w: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, area under the plasma concentration–time curve from 0 to 12 hours; AUC</w:t>
      </w:r>
      <w:r w:rsidRPr="00182F1E">
        <w:rPr>
          <w:rFonts w:ascii="Times New Roman" w:eastAsia="Calibri" w:hAnsi="Times New Roman" w:cs="Times New Roman"/>
          <w:bCs/>
          <w:sz w:val="20"/>
          <w:szCs w:val="20"/>
          <w:vertAlign w:val="subscript"/>
          <w:lang w:val="en-US"/>
        </w:rPr>
        <w:t>12–24</w:t>
      </w: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, area under the plasma concentration–time curve from 12 to 24 hours; CI, confidence interval; FAS, full analysis set; FEV</w:t>
      </w:r>
      <w:r w:rsidRPr="00182F1E">
        <w:rPr>
          <w:rFonts w:ascii="Times New Roman" w:eastAsia="Calibri" w:hAnsi="Times New Roman" w:cs="Times New Roman"/>
          <w:bCs/>
          <w:sz w:val="20"/>
          <w:szCs w:val="20"/>
          <w:vertAlign w:val="subscript"/>
          <w:lang w:val="en-US"/>
        </w:rPr>
        <w:t>1</w:t>
      </w: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, forced expiratory volume in 1 second; FOR, formoterol fumarate; FVC, forced vital capacity; GLY, glycopyrrolate; IC, inspiratory capacity; IND, indacaterol; NA, not applicable; NI, non-inferiority; OLO, olodaterol; OR, odds ratio; PP, per protocol; SE, standard error; TD, treatment difference; TIO, tiotropium; UMEC, umeclidinium; VIL, vilanterol.</w:t>
      </w:r>
    </w:p>
    <w:p w14:paraId="45B9E50B" w14:textId="77777777" w:rsidR="00C45CCA" w:rsidRPr="00182F1E" w:rsidRDefault="00C45CCA" w:rsidP="00C45CCA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14:paraId="0794B3D6" w14:textId="77777777" w:rsidR="00C45CCA" w:rsidRPr="00182F1E" w:rsidRDefault="00C45CCA" w:rsidP="00C45CCA">
      <w:pPr>
        <w:spacing w:after="240" w:line="36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Supplementary Table 3 </w:t>
      </w:r>
      <w:r w:rsidRPr="00182F1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Summary of secondary PRO results in head-to-head RCTs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20" w:firstRow="1" w:lastRow="0" w:firstColumn="0" w:lastColumn="0" w:noHBand="0" w:noVBand="1"/>
      </w:tblPr>
      <w:tblGrid>
        <w:gridCol w:w="2787"/>
        <w:gridCol w:w="2787"/>
        <w:gridCol w:w="2788"/>
        <w:gridCol w:w="2788"/>
        <w:gridCol w:w="2788"/>
      </w:tblGrid>
      <w:tr w:rsidR="00C45CCA" w:rsidRPr="00182F1E" w14:paraId="5EBE8386" w14:textId="77777777" w:rsidTr="00C45CCA">
        <w:trPr>
          <w:trHeight w:val="450"/>
        </w:trPr>
        <w:tc>
          <w:tcPr>
            <w:tcW w:w="1000" w:type="pct"/>
            <w:shd w:val="clear" w:color="auto" w:fill="FFFFFF" w:themeFill="background1"/>
            <w:hideMark/>
          </w:tcPr>
          <w:p w14:paraId="6EC3CE3D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  <w:t>Outcomes</w:t>
            </w:r>
          </w:p>
        </w:tc>
        <w:tc>
          <w:tcPr>
            <w:tcW w:w="1000" w:type="pct"/>
            <w:shd w:val="clear" w:color="auto" w:fill="FFFFFF" w:themeFill="background1"/>
            <w:hideMark/>
          </w:tcPr>
          <w:p w14:paraId="68CBEE8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  <w:t>AERISTO study</w:t>
            </w:r>
            <w:r w:rsidRPr="00182F1E">
              <w:rPr>
                <w:rFonts w:ascii="Times New Roman" w:eastAsia="Calibri" w:hAnsi="Times New Roman"/>
                <w:b/>
                <w:bCs/>
                <w:sz w:val="20"/>
                <w:vertAlign w:val="superscript"/>
                <w:lang w:val="en-US"/>
              </w:rPr>
              <w:t>a</w:t>
            </w:r>
            <w:r w:rsidRPr="00182F1E">
              <w:rPr>
                <w:rFonts w:ascii="Times New Roman" w:eastAsia="Calibri" w:hAnsi="Times New Roman"/>
                <w:b/>
                <w:bCs/>
                <w:iCs/>
                <w:noProof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000" w:type="pct"/>
            <w:shd w:val="clear" w:color="auto" w:fill="FFFFFF" w:themeFill="background1"/>
            <w:hideMark/>
          </w:tcPr>
          <w:p w14:paraId="728A67F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Study A2349</w:t>
            </w:r>
            <w:r w:rsidRPr="00182F1E">
              <w:rPr>
                <w:rFonts w:ascii="Times New Roman" w:hAnsi="Times New Roman"/>
                <w:b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000" w:type="pct"/>
            <w:shd w:val="clear" w:color="auto" w:fill="FFFFFF" w:themeFill="background1"/>
            <w:hideMark/>
          </w:tcPr>
          <w:p w14:paraId="42C34E0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Study A2350</w:t>
            </w:r>
            <w:r w:rsidRPr="00182F1E">
              <w:rPr>
                <w:rFonts w:ascii="Times New Roman" w:hAnsi="Times New Roman"/>
                <w:b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000" w:type="pct"/>
            <w:shd w:val="clear" w:color="auto" w:fill="FFFFFF" w:themeFill="background1"/>
            <w:hideMark/>
          </w:tcPr>
          <w:p w14:paraId="5995B14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Study GSK204990</w:t>
            </w:r>
            <w:r w:rsidRPr="00182F1E">
              <w:rPr>
                <w:rFonts w:ascii="Times New Roman" w:hAnsi="Times New Roman"/>
                <w:b/>
                <w:noProof/>
                <w:sz w:val="20"/>
                <w:vertAlign w:val="superscript"/>
                <w:lang w:val="en-US"/>
              </w:rPr>
              <w:t>3</w:t>
            </w:r>
          </w:p>
        </w:tc>
      </w:tr>
      <w:tr w:rsidR="00C45CCA" w:rsidRPr="00182F1E" w14:paraId="4FBD1C76" w14:textId="77777777" w:rsidTr="00C45CCA">
        <w:trPr>
          <w:trHeight w:val="300"/>
        </w:trPr>
        <w:tc>
          <w:tcPr>
            <w:tcW w:w="1000" w:type="pct"/>
          </w:tcPr>
          <w:p w14:paraId="4DC89541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TDI focal score</w:t>
            </w:r>
          </w:p>
          <w:p w14:paraId="2312B5D5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LSM (SE) change from baseline</w:t>
            </w:r>
          </w:p>
          <w:p w14:paraId="1FD67057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Treatment difference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[CI]</w:t>
            </w:r>
          </w:p>
        </w:tc>
        <w:tc>
          <w:tcPr>
            <w:tcW w:w="1000" w:type="pct"/>
          </w:tcPr>
          <w:p w14:paraId="00A089C8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29D27EC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GLY/FOR: 1.23 (0.10)</w:t>
            </w:r>
          </w:p>
          <w:p w14:paraId="0B561F7E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1.60 (0.10)</w:t>
            </w:r>
          </w:p>
          <w:p w14:paraId="0202CE2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 xml:space="preserve">–0.37 </w:t>
            </w:r>
          </w:p>
          <w:p w14:paraId="40AC425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[95% CI = –0.59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>, –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0.14]</w:t>
            </w:r>
          </w:p>
          <w:p w14:paraId="2B78F4D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(over 24 weeks)</w:t>
            </w:r>
          </w:p>
          <w:p w14:paraId="5A55688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Nominal NI of GLY/FOR was demonstrated</w:t>
            </w:r>
          </w:p>
          <w:p w14:paraId="19987C2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(NI margin – 1 unit)</w:t>
            </w:r>
          </w:p>
        </w:tc>
        <w:tc>
          <w:tcPr>
            <w:tcW w:w="1000" w:type="pct"/>
          </w:tcPr>
          <w:p w14:paraId="09E0C8D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F8537D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04BD2B19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682B23B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5A050D53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EDD02B2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</w:tr>
      <w:tr w:rsidR="00C45CCA" w:rsidRPr="00182F1E" w14:paraId="5E192658" w14:textId="77777777" w:rsidTr="00C45CCA">
        <w:trPr>
          <w:trHeight w:val="300"/>
        </w:trPr>
        <w:tc>
          <w:tcPr>
            <w:tcW w:w="1000" w:type="pct"/>
            <w:hideMark/>
          </w:tcPr>
          <w:p w14:paraId="24F9C4BE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CAT score</w:t>
            </w:r>
          </w:p>
          <w:p w14:paraId="1CFD79C1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LSM (SE) change from baseline</w:t>
            </w:r>
          </w:p>
          <w:p w14:paraId="43349497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Treatment difference</w:t>
            </w: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 xml:space="preserve"> </w:t>
            </w:r>
            <w:r w:rsidRPr="00182F1E">
              <w:rPr>
                <w:rFonts w:ascii="Times New Roman" w:eastAsia="Calibri" w:hAnsi="Times New Roman"/>
                <w:bCs/>
                <w:i/>
                <w:sz w:val="20"/>
                <w:lang w:val="en-US"/>
              </w:rPr>
              <w:t>[CI]</w:t>
            </w:r>
          </w:p>
        </w:tc>
        <w:tc>
          <w:tcPr>
            <w:tcW w:w="1000" w:type="pct"/>
          </w:tcPr>
          <w:p w14:paraId="53353687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3B79B26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GLY/FOR: –2.97 (0.21)</w:t>
            </w:r>
          </w:p>
          <w:p w14:paraId="46BF1A8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–3.56 (0.22)</w:t>
            </w:r>
          </w:p>
          <w:p w14:paraId="2C6A5EF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0.59 [95% CI = 0.07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1.11]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 (over 24 weeks)</w:t>
            </w:r>
          </w:p>
          <w:p w14:paraId="07CA68C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Nominal NI of GLY/FOR was demonstrated</w:t>
            </w:r>
          </w:p>
          <w:p w14:paraId="7B233AF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(NI margin 2 units)</w:t>
            </w:r>
          </w:p>
        </w:tc>
        <w:tc>
          <w:tcPr>
            <w:tcW w:w="1000" w:type="pct"/>
          </w:tcPr>
          <w:p w14:paraId="119AF6C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0FA9F6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29C18A68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0E791C7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4ED01DA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–1.38 (0.28)</w:t>
            </w:r>
          </w:p>
          <w:p w14:paraId="210F55A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TIO/OLO: –1.26 (0.28)</w:t>
            </w:r>
          </w:p>
          <w:p w14:paraId="645575D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–0.11 [95% CI = –0.68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182F1E">
              <w:rPr>
                <w:rFonts w:ascii="Times New Roman" w:hAnsi="Times New Roman"/>
                <w:i/>
                <w:sz w:val="20"/>
                <w:lang w:val="en-US"/>
              </w:rPr>
              <w:t>0.45]</w:t>
            </w:r>
          </w:p>
          <w:p w14:paraId="3D962C85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(at Week 8)</w:t>
            </w:r>
          </w:p>
          <w:p w14:paraId="4536B06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No statistically significant difference between treatments</w:t>
            </w:r>
          </w:p>
        </w:tc>
      </w:tr>
      <w:tr w:rsidR="00C45CCA" w:rsidRPr="00182F1E" w14:paraId="6E4FF750" w14:textId="77777777" w:rsidTr="00C45CCA">
        <w:trPr>
          <w:trHeight w:val="300"/>
        </w:trPr>
        <w:tc>
          <w:tcPr>
            <w:tcW w:w="1000" w:type="pct"/>
            <w:hideMark/>
          </w:tcPr>
          <w:p w14:paraId="05E0E526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</w:pPr>
            <w:r w:rsidRPr="00182F1E">
              <w:rPr>
                <w:rFonts w:ascii="Times New Roman" w:hAnsi="Times New Roman"/>
                <w:b/>
                <w:sz w:val="20"/>
                <w:lang w:val="en-US"/>
              </w:rPr>
              <w:t>E-RS</w:t>
            </w:r>
            <w:r w:rsidRPr="00182F1E">
              <w:rPr>
                <w:rFonts w:ascii="Times New Roman" w:hAnsi="Times New Roman"/>
                <w:b/>
                <w:sz w:val="20"/>
                <w:vertAlign w:val="subscript"/>
                <w:lang w:val="en-US"/>
              </w:rPr>
              <w:t>COPD</w:t>
            </w:r>
          </w:p>
          <w:p w14:paraId="1FC39ADA" w14:textId="77777777" w:rsidR="00C45CCA" w:rsidRPr="00182F1E" w:rsidRDefault="00C45CCA" w:rsidP="00C45CCA">
            <w:pPr>
              <w:spacing w:before="60" w:after="60" w:line="360" w:lineRule="auto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Change from baseline, range</w:t>
            </w:r>
          </w:p>
        </w:tc>
        <w:tc>
          <w:tcPr>
            <w:tcW w:w="1000" w:type="pct"/>
            <w:hideMark/>
          </w:tcPr>
          <w:p w14:paraId="2E1871F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7AD7EEBB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48EE876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01CC4911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151BC6D4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65A76897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NA</w:t>
            </w:r>
          </w:p>
        </w:tc>
        <w:tc>
          <w:tcPr>
            <w:tcW w:w="1000" w:type="pct"/>
          </w:tcPr>
          <w:p w14:paraId="626454D3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3E17190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UMEC/VIL: –1.79 to –1.61</w:t>
            </w:r>
          </w:p>
          <w:p w14:paraId="17286E2D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TIO/OLO: –1.72 to –1.31</w:t>
            </w:r>
          </w:p>
          <w:p w14:paraId="05176A2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p = 0.031 at Week 5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(data ranging from weeks 1 to 8; all other timepoints not statistically significant)</w:t>
            </w:r>
          </w:p>
        </w:tc>
      </w:tr>
    </w:tbl>
    <w:p w14:paraId="0CCFAB28" w14:textId="77777777" w:rsidR="00C45CCA" w:rsidRPr="00182F1E" w:rsidRDefault="00C45CCA" w:rsidP="00C45CCA">
      <w:pPr>
        <w:spacing w:line="360" w:lineRule="auto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US"/>
        </w:rPr>
        <w:t>a</w:t>
      </w: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Primary analysis was performed in the PP population; results were consistent in the FAS population.</w:t>
      </w:r>
    </w:p>
    <w:p w14:paraId="15E5D103" w14:textId="77777777" w:rsidR="00C45CCA" w:rsidRPr="00182F1E" w:rsidRDefault="00C45CCA" w:rsidP="00C45CCA">
      <w:pPr>
        <w:spacing w:line="360" w:lineRule="auto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CAT, COPD Assessment Test; CI, confidence interval; COPD, chronic obstructive pulmonary disease; E-RS</w:t>
      </w:r>
      <w:r w:rsidRPr="00182F1E">
        <w:rPr>
          <w:rFonts w:ascii="Times New Roman" w:eastAsia="Calibri" w:hAnsi="Times New Roman" w:cs="Times New Roman"/>
          <w:bCs/>
          <w:sz w:val="20"/>
          <w:szCs w:val="20"/>
          <w:vertAlign w:val="subscript"/>
          <w:lang w:val="en-US"/>
        </w:rPr>
        <w:t>COPD</w:t>
      </w: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, Evaluating Respiratory Symptoms – COPD; FOR, formoterol fumarate; GLY, glycopyrrolate; LSM, least squares means; NA, not applicable; NI, non-inferiority; OLO, olodaterol; PRO, patient-reported outcome; RCT, randomized controlled trial; SE, standard error; TDI, Transition Dyspnea Index; TIO, tiotropium; UMEC, umeclidinium; VIL, vilanterol.</w:t>
      </w:r>
    </w:p>
    <w:p w14:paraId="5CA140EB" w14:textId="77777777" w:rsidR="00C45CCA" w:rsidRDefault="00C45CCA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14:paraId="191739DD" w14:textId="79BBDA8E" w:rsidR="00C45CCA" w:rsidRPr="00182F1E" w:rsidRDefault="00C45CCA" w:rsidP="00C45CCA">
      <w:pPr>
        <w:tabs>
          <w:tab w:val="left" w:pos="11872"/>
        </w:tabs>
        <w:rPr>
          <w:rFonts w:ascii="Times New Roman" w:hAnsi="Times New Roman" w:cs="Times New Roman"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t>Supplementary Table 4</w:t>
      </w: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>Mean differences in the change from baseline in trough FEV</w:t>
      </w:r>
      <w:r w:rsidRPr="00182F1E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1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 xml:space="preserve"> at 24 weeks (REM) in the Siddiqui et al NMA</w:t>
      </w:r>
      <w:r w:rsidRPr="00182F1E">
        <w:rPr>
          <w:rFonts w:ascii="Times New Roman" w:hAnsi="Times New Roman" w:cs="Times New Roman"/>
          <w:noProof/>
          <w:sz w:val="24"/>
          <w:szCs w:val="20"/>
          <w:vertAlign w:val="superscript"/>
          <w:lang w:val="en-US"/>
        </w:rPr>
        <w:t>8</w:t>
      </w: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765"/>
        <w:gridCol w:w="1992"/>
        <w:gridCol w:w="1992"/>
        <w:gridCol w:w="1992"/>
        <w:gridCol w:w="1992"/>
        <w:gridCol w:w="1984"/>
      </w:tblGrid>
      <w:tr w:rsidR="00C45CCA" w:rsidRPr="00182F1E" w14:paraId="39BF579C" w14:textId="77777777" w:rsidTr="00C45CCA">
        <w:trPr>
          <w:trHeight w:val="283"/>
          <w:jc w:val="center"/>
        </w:trPr>
        <w:tc>
          <w:tcPr>
            <w:tcW w:w="777" w:type="pct"/>
            <w:noWrap/>
            <w:vAlign w:val="center"/>
          </w:tcPr>
          <w:p w14:paraId="2B138E8E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4223" w:type="pct"/>
            <w:gridSpan w:val="6"/>
            <w:noWrap/>
            <w:vAlign w:val="center"/>
          </w:tcPr>
          <w:p w14:paraId="2850AB1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C45CCA" w:rsidRPr="00182F1E" w14:paraId="2E9B155D" w14:textId="77777777" w:rsidTr="00C45CCA">
        <w:trPr>
          <w:trHeight w:val="641"/>
          <w:jc w:val="center"/>
        </w:trPr>
        <w:tc>
          <w:tcPr>
            <w:tcW w:w="777" w:type="pct"/>
            <w:noWrap/>
            <w:vAlign w:val="center"/>
            <w:hideMark/>
          </w:tcPr>
          <w:p w14:paraId="7C90CA7E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636" w:type="pct"/>
            <w:noWrap/>
            <w:vAlign w:val="center"/>
            <w:hideMark/>
          </w:tcPr>
          <w:p w14:paraId="59B5474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718" w:type="pct"/>
            <w:noWrap/>
            <w:vAlign w:val="center"/>
            <w:hideMark/>
          </w:tcPr>
          <w:p w14:paraId="1A7C19E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ACL 400 μg BID + FOR 12 </w:t>
            </w:r>
            <w:r w:rsidRPr="00182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μg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BID</w:t>
            </w:r>
          </w:p>
        </w:tc>
        <w:tc>
          <w:tcPr>
            <w:tcW w:w="718" w:type="pct"/>
            <w:noWrap/>
            <w:vAlign w:val="center"/>
            <w:hideMark/>
          </w:tcPr>
          <w:p w14:paraId="25F9913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 + FOR 9.6 μg BID</w:t>
            </w:r>
          </w:p>
        </w:tc>
        <w:tc>
          <w:tcPr>
            <w:tcW w:w="718" w:type="pct"/>
            <w:noWrap/>
            <w:vAlign w:val="center"/>
            <w:hideMark/>
          </w:tcPr>
          <w:p w14:paraId="7245124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 + IND 110 μg OD</w:t>
            </w:r>
          </w:p>
        </w:tc>
        <w:tc>
          <w:tcPr>
            <w:tcW w:w="718" w:type="pct"/>
            <w:noWrap/>
            <w:vAlign w:val="center"/>
            <w:hideMark/>
          </w:tcPr>
          <w:p w14:paraId="5EDBB83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TIO 2.5 μg x 2 OD + OLO 2.5 μg x 2 OD</w:t>
            </w:r>
          </w:p>
        </w:tc>
        <w:tc>
          <w:tcPr>
            <w:tcW w:w="715" w:type="pct"/>
            <w:noWrap/>
            <w:vAlign w:val="center"/>
            <w:hideMark/>
          </w:tcPr>
          <w:p w14:paraId="2E37D2B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 + VIL 25 μg OD</w:t>
            </w:r>
          </w:p>
        </w:tc>
      </w:tr>
      <w:tr w:rsidR="00C45CCA" w:rsidRPr="00182F1E" w14:paraId="75434E3C" w14:textId="77777777" w:rsidTr="00C45CCA">
        <w:trPr>
          <w:trHeight w:val="641"/>
          <w:jc w:val="center"/>
        </w:trPr>
        <w:tc>
          <w:tcPr>
            <w:tcW w:w="777" w:type="pct"/>
            <w:noWrap/>
            <w:vAlign w:val="center"/>
            <w:hideMark/>
          </w:tcPr>
          <w:p w14:paraId="0E8F5FB0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14:paraId="2D56A0A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6F5F007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2AA1931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1395E79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78E2C28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2E4DAF1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21DE8F73" w14:textId="77777777" w:rsidTr="00C45CCA">
        <w:trPr>
          <w:trHeight w:val="641"/>
          <w:jc w:val="center"/>
        </w:trPr>
        <w:tc>
          <w:tcPr>
            <w:tcW w:w="777" w:type="pct"/>
            <w:noWrap/>
            <w:vAlign w:val="center"/>
            <w:hideMark/>
          </w:tcPr>
          <w:p w14:paraId="321D532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ACL 400 μg BID</w:t>
            </w:r>
          </w:p>
          <w:p w14:paraId="2A0CB719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12 μg BID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14:paraId="44D8F41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143.1</w:t>
            </w:r>
          </w:p>
          <w:p w14:paraId="52186D5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(118.3, 167.3)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0E28A1A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47CDD90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3F0BFA8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4997A34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595EB8A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266DAFD3" w14:textId="77777777" w:rsidTr="00C45CCA">
        <w:trPr>
          <w:trHeight w:val="641"/>
          <w:jc w:val="center"/>
        </w:trPr>
        <w:tc>
          <w:tcPr>
            <w:tcW w:w="777" w:type="pct"/>
            <w:noWrap/>
            <w:vAlign w:val="center"/>
            <w:hideMark/>
          </w:tcPr>
          <w:p w14:paraId="7231EBC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</w:t>
            </w:r>
          </w:p>
          <w:p w14:paraId="002EB8D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9.6 μg BID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14:paraId="1B76B71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143.4</w:t>
            </w:r>
          </w:p>
          <w:p w14:paraId="345B187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(121.9, 166.1)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25C77CE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0.4</w:t>
            </w:r>
          </w:p>
          <w:p w14:paraId="710F8FA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(–25.6, 26.3)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7D07869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24C2FEE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67B90E9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4170FB8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035DCBAD" w14:textId="77777777" w:rsidTr="00C45CCA">
        <w:trPr>
          <w:trHeight w:val="641"/>
          <w:jc w:val="center"/>
        </w:trPr>
        <w:tc>
          <w:tcPr>
            <w:tcW w:w="777" w:type="pct"/>
            <w:noWrap/>
            <w:vAlign w:val="center"/>
            <w:hideMark/>
          </w:tcPr>
          <w:p w14:paraId="58FF0652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</w:t>
            </w:r>
          </w:p>
          <w:p w14:paraId="4AA25B5E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IND 110 μg OD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14:paraId="51980E5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167.1</w:t>
            </w:r>
          </w:p>
          <w:p w14:paraId="516B471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(137.8, 205)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1B92561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23.5</w:t>
            </w:r>
          </w:p>
          <w:p w14:paraId="57FE181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(–5.9, 67.8)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49EFBCE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23.0</w:t>
            </w:r>
          </w:p>
          <w:p w14:paraId="0D2E650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(–5.9, 66.8)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47E75E9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1225A46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49209E1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126B8056" w14:textId="77777777" w:rsidTr="00C45CCA">
        <w:trPr>
          <w:trHeight w:val="641"/>
          <w:jc w:val="center"/>
        </w:trPr>
        <w:tc>
          <w:tcPr>
            <w:tcW w:w="777" w:type="pct"/>
            <w:noWrap/>
            <w:vAlign w:val="center"/>
            <w:hideMark/>
          </w:tcPr>
          <w:p w14:paraId="405B4DDE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TIO 2.5 μg x 2 OD </w:t>
            </w:r>
          </w:p>
          <w:p w14:paraId="09C702F6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+ OLO 2.5 μg x 2 OD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14:paraId="32C94B8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157.6</w:t>
            </w:r>
          </w:p>
          <w:p w14:paraId="6F62F0F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(132.3, 183.7)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41C3817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14.0</w:t>
            </w:r>
          </w:p>
          <w:p w14:paraId="044B43C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(–12.4, 46.3)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5674A31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13.5</w:t>
            </w:r>
          </w:p>
          <w:p w14:paraId="53A20CE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(–11.1, 43.3)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0AD6392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–8.7</w:t>
            </w:r>
          </w:p>
          <w:p w14:paraId="575ABC2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(–46.7, 18.6)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4EF1B04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2903D0B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0C24B573" w14:textId="77777777" w:rsidTr="00C45CCA">
        <w:trPr>
          <w:trHeight w:val="641"/>
          <w:jc w:val="center"/>
        </w:trPr>
        <w:tc>
          <w:tcPr>
            <w:tcW w:w="777" w:type="pct"/>
            <w:noWrap/>
            <w:vAlign w:val="center"/>
            <w:hideMark/>
          </w:tcPr>
          <w:p w14:paraId="41271405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</w:t>
            </w:r>
          </w:p>
          <w:p w14:paraId="1337E72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VIL 25 μg OD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14:paraId="62AC574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167.9</w:t>
            </w:r>
          </w:p>
          <w:p w14:paraId="089D25E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(143.3, 191.9)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0FC399A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24.5</w:t>
            </w:r>
          </w:p>
          <w:p w14:paraId="5DE9B4B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(–3.1, 57.6)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69C6BAA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24.2</w:t>
            </w:r>
          </w:p>
          <w:p w14:paraId="07F3814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(–2.8, 54.6)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23B2FD6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0.1</w:t>
            </w:r>
          </w:p>
          <w:p w14:paraId="24B0EB6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(–33.6, 29.8)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14:paraId="3243C01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9.3</w:t>
            </w:r>
          </w:p>
          <w:p w14:paraId="6C2CD48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(–13.9, 36.8)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0EE1EBE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</w:tbl>
    <w:p w14:paraId="7751A1CA" w14:textId="77777777" w:rsidR="00C45CCA" w:rsidRPr="00182F1E" w:rsidRDefault="00C45CCA" w:rsidP="00C45CCA">
      <w:pP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Results are presented as mean difference (95% CrI). A positive treatment difference favors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treatment A</w:t>
      </w: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11B8B840" w14:textId="77777777" w:rsidR="00C45CCA" w:rsidRPr="00182F1E" w:rsidRDefault="00C45CCA" w:rsidP="00C45CCA">
      <w:pPr>
        <w:spacing w:after="120" w:line="360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0"/>
          <w:szCs w:val="20"/>
          <w:lang w:val="en-US"/>
        </w:rPr>
        <w:t>Abbreviations: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BID, twice daily;</w:t>
      </w:r>
      <w:r w:rsidRPr="00182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CrI, credible interval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GLY, glycopyrrolate; FOR, formoterol fumarate; IND, indacaterol; 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OD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once daily; OLO, olodaterol; REM, random effects model; TIO, tiotropium; UMEC, umeclidinium; VI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vilanterol.</w:t>
      </w:r>
    </w:p>
    <w:p w14:paraId="76811815" w14:textId="77777777" w:rsidR="00C45CCA" w:rsidRDefault="00C45CCA" w:rsidP="00C45CCA"/>
    <w:p w14:paraId="5185DD9B" w14:textId="77777777" w:rsidR="00C45CCA" w:rsidRDefault="00C45CCA" w:rsidP="00C45CCA">
      <w:r>
        <w:br w:type="page"/>
      </w:r>
    </w:p>
    <w:p w14:paraId="17936671" w14:textId="76F53393" w:rsidR="00C45CCA" w:rsidRPr="00182F1E" w:rsidRDefault="00C45CCA" w:rsidP="00C45CCA">
      <w:pPr>
        <w:rPr>
          <w:rFonts w:ascii="Times New Roman" w:hAnsi="Times New Roman" w:cs="Times New Roman"/>
          <w:sz w:val="24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5</w:t>
      </w: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>Mean differences in the change from baseline in peak FEV</w:t>
      </w:r>
      <w:r w:rsidRPr="00182F1E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1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 xml:space="preserve"> at 24 weeks (REM) in the Siddiqui et al NMA</w:t>
      </w:r>
      <w:r w:rsidRPr="00182F1E">
        <w:rPr>
          <w:rFonts w:ascii="Times New Roman" w:hAnsi="Times New Roman" w:cs="Times New Roman"/>
          <w:noProof/>
          <w:sz w:val="24"/>
          <w:szCs w:val="20"/>
          <w:vertAlign w:val="superscript"/>
          <w:lang w:val="en-US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107"/>
        <w:gridCol w:w="2325"/>
        <w:gridCol w:w="2324"/>
        <w:gridCol w:w="2324"/>
        <w:gridCol w:w="2325"/>
      </w:tblGrid>
      <w:tr w:rsidR="00C45CCA" w:rsidRPr="00182F1E" w14:paraId="141C967D" w14:textId="77777777" w:rsidTr="00C45CCA">
        <w:trPr>
          <w:trHeight w:val="283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0CCDBC72" w14:textId="77777777" w:rsidR="00C45CCA" w:rsidRPr="00182F1E" w:rsidRDefault="00C45CCA" w:rsidP="00C45CCA">
            <w:pPr>
              <w:ind w:left="-477" w:firstLine="47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1405" w:type="dxa"/>
            <w:gridSpan w:val="5"/>
            <w:shd w:val="clear" w:color="auto" w:fill="auto"/>
            <w:vAlign w:val="center"/>
          </w:tcPr>
          <w:p w14:paraId="4BC3082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C45CCA" w:rsidRPr="00182F1E" w14:paraId="50816847" w14:textId="77777777" w:rsidTr="00C45CCA">
        <w:trPr>
          <w:trHeight w:val="643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27C5F67B" w14:textId="77777777" w:rsidR="00C45CCA" w:rsidRPr="00182F1E" w:rsidRDefault="00C45CCA" w:rsidP="00C45CCA">
            <w:pPr>
              <w:ind w:left="-477" w:firstLine="47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14:paraId="708D819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14:paraId="7FB1141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ACL 400 μg BID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FOR 12 μg BID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14:paraId="475D4E1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FOR 9.6 μg BID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14:paraId="6188983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IND 110 μg OD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14:paraId="5043B4F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VIL 25 μg OD</w:t>
            </w:r>
          </w:p>
        </w:tc>
      </w:tr>
      <w:tr w:rsidR="00C45CCA" w:rsidRPr="00182F1E" w14:paraId="0448B763" w14:textId="77777777" w:rsidTr="00C45CCA">
        <w:trPr>
          <w:trHeight w:val="643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0F8A46C2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14:paraId="46C9479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2CC076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845DAC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AE7F47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F9B4F9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63E0F26D" w14:textId="77777777" w:rsidTr="00C45CCA">
        <w:trPr>
          <w:trHeight w:val="643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74B0038A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ACL 400 μg BID</w:t>
            </w:r>
          </w:p>
          <w:p w14:paraId="1F84B647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12 μg BID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14:paraId="4151800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269.6</w:t>
            </w:r>
          </w:p>
          <w:p w14:paraId="6EAA971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(196.1, 344.0)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14:paraId="2174214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F2E8B3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379FD40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9963E4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023122BF" w14:textId="77777777" w:rsidTr="00C45CCA">
        <w:trPr>
          <w:trHeight w:val="643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47C1335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</w:t>
            </w:r>
          </w:p>
          <w:p w14:paraId="59DC429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9.6 μg BID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14:paraId="71F453F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275.8</w:t>
            </w:r>
          </w:p>
          <w:p w14:paraId="4546A0F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(252.7, 298.9)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14:paraId="419938F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6.2</w:t>
            </w:r>
          </w:p>
          <w:p w14:paraId="2E2AEF1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(–67.2, 79.2)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14:paraId="40220D6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5692B6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EB288A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375F66FC" w14:textId="77777777" w:rsidTr="00C45CCA">
        <w:trPr>
          <w:trHeight w:val="643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320EB61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</w:t>
            </w:r>
          </w:p>
          <w:p w14:paraId="796BFC0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IND 110 μg OD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14:paraId="3EB166F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276.6</w:t>
            </w:r>
          </w:p>
          <w:p w14:paraId="36C7453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(181.7, 372.1)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14:paraId="15B7B0D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7.1</w:t>
            </w:r>
          </w:p>
          <w:p w14:paraId="4307073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(–65.5, 81.7)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14:paraId="7FAD634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0.7</w:t>
            </w:r>
          </w:p>
          <w:p w14:paraId="39C7B7B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(–93.1, 95.0)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14:paraId="3DE00EF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AA327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5044A423" w14:textId="77777777" w:rsidTr="00C45CCA">
        <w:trPr>
          <w:trHeight w:val="643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61FEA44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</w:t>
            </w:r>
          </w:p>
          <w:p w14:paraId="00F0B2E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VIL 25 μg OD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14:paraId="2D0CE8F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251.2</w:t>
            </w:r>
          </w:p>
          <w:p w14:paraId="6353294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(224.8, 276.7)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14:paraId="08632EF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–18.9</w:t>
            </w:r>
          </w:p>
          <w:p w14:paraId="600DBBA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(–92.1, 55.9)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14:paraId="09E4F48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–24.5</w:t>
            </w:r>
          </w:p>
          <w:p w14:paraId="2F85800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(–49.9, –0.6)</w:t>
            </w:r>
          </w:p>
        </w:tc>
        <w:tc>
          <w:tcPr>
            <w:tcW w:w="2324" w:type="dxa"/>
            <w:shd w:val="clear" w:color="auto" w:fill="auto"/>
            <w:vAlign w:val="center"/>
            <w:hideMark/>
          </w:tcPr>
          <w:p w14:paraId="2F8CC9E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–25.6</w:t>
            </w:r>
          </w:p>
          <w:p w14:paraId="472B9D4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(–121.3, 71.2)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3E9E1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</w:tbl>
    <w:p w14:paraId="7459B83D" w14:textId="77777777" w:rsidR="00C45CCA" w:rsidRPr="00182F1E" w:rsidRDefault="00C45CCA" w:rsidP="00C45CCA">
      <w:pP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Results are presented as mean difference (95% CrI). A positive treatment difference favors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treatment A</w:t>
      </w: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30FE0116" w14:textId="77777777" w:rsidR="00C45CCA" w:rsidRPr="00182F1E" w:rsidRDefault="00C45CCA" w:rsidP="00C45CCA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eastAsia="Calibri" w:hAnsi="Times New Roman"/>
          <w:b/>
          <w:bCs w:val="0"/>
          <w:sz w:val="20"/>
          <w:szCs w:val="20"/>
          <w:lang w:val="en-US"/>
        </w:rPr>
      </w:pPr>
      <w:r w:rsidRPr="00182F1E">
        <w:rPr>
          <w:rFonts w:ascii="Times New Roman" w:hAnsi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/>
          <w:sz w:val="20"/>
          <w:szCs w:val="20"/>
          <w:lang w:val="en-US"/>
        </w:rPr>
        <w:t>BID, twice daily; CrI, credible interval; GLY, glycopyrrolate; FOR, formoterol fumarate; IND, indacaterol; OD, once daily; OLO, olodaterol; REM, random effects model; TIO, tiotropium; UMEC, umeclidinium; VIL, vilanterol.</w:t>
      </w:r>
    </w:p>
    <w:p w14:paraId="1B7C6576" w14:textId="77777777" w:rsidR="00C45CCA" w:rsidRDefault="00C45CCA" w:rsidP="00C45CCA">
      <w:r>
        <w:br w:type="page"/>
      </w:r>
    </w:p>
    <w:p w14:paraId="0E4D29C0" w14:textId="210E64EC" w:rsidR="00C45CCA" w:rsidRPr="00182F1E" w:rsidRDefault="00C45CCA" w:rsidP="00C45CCA">
      <w:pPr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6</w:t>
      </w: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>Mean differences in the change from baseline in FEV</w:t>
      </w:r>
      <w:r w:rsidRPr="00182F1E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>1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 xml:space="preserve"> AUC</w:t>
      </w:r>
      <w:r w:rsidRPr="00182F1E">
        <w:rPr>
          <w:rFonts w:ascii="Times New Roman" w:hAnsi="Times New Roman" w:cs="Times New Roman"/>
          <w:sz w:val="24"/>
          <w:szCs w:val="20"/>
          <w:vertAlign w:val="subscript"/>
          <w:lang w:val="en-US"/>
        </w:rPr>
        <w:t xml:space="preserve"> 0–4 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>at 24 weeks (REM) in the Siddiqui et al NMA</w:t>
      </w:r>
      <w:r w:rsidRPr="00182F1E">
        <w:rPr>
          <w:rFonts w:ascii="Times New Roman" w:hAnsi="Times New Roman" w:cs="Times New Roman"/>
          <w:noProof/>
          <w:sz w:val="24"/>
          <w:szCs w:val="20"/>
          <w:vertAlign w:val="superscript"/>
          <w:lang w:val="en-US"/>
        </w:rPr>
        <w:t>8</w:t>
      </w: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100"/>
        <w:gridCol w:w="2330"/>
        <w:gridCol w:w="2325"/>
        <w:gridCol w:w="2325"/>
        <w:gridCol w:w="2314"/>
      </w:tblGrid>
      <w:tr w:rsidR="00C45CCA" w:rsidRPr="00182F1E" w14:paraId="407508F2" w14:textId="77777777" w:rsidTr="00C45CCA">
        <w:trPr>
          <w:trHeight w:val="283"/>
        </w:trPr>
        <w:tc>
          <w:tcPr>
            <w:tcW w:w="795" w:type="pct"/>
            <w:shd w:val="clear" w:color="auto" w:fill="auto"/>
            <w:vAlign w:val="center"/>
          </w:tcPr>
          <w:p w14:paraId="414761F9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4205" w:type="pct"/>
            <w:gridSpan w:val="5"/>
            <w:shd w:val="clear" w:color="auto" w:fill="auto"/>
            <w:vAlign w:val="center"/>
          </w:tcPr>
          <w:p w14:paraId="6A86624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C45CCA" w:rsidRPr="00182F1E" w14:paraId="10D5B6C5" w14:textId="77777777" w:rsidTr="00C45CCA">
        <w:trPr>
          <w:trHeight w:val="641"/>
        </w:trPr>
        <w:tc>
          <w:tcPr>
            <w:tcW w:w="795" w:type="pct"/>
            <w:shd w:val="clear" w:color="auto" w:fill="auto"/>
            <w:vAlign w:val="center"/>
            <w:hideMark/>
          </w:tcPr>
          <w:p w14:paraId="64E50CDF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422BA28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1F05DA0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FOR 9.6 μg bid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3E89E3A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IND 110 μg OD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4AEE945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TIO 2.5 μg x 2 OD + OLO 2.5 μg x 2 OD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3DBCD8C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 + VIL 25 μg OD</w:t>
            </w:r>
          </w:p>
        </w:tc>
      </w:tr>
      <w:tr w:rsidR="00C45CCA" w:rsidRPr="00182F1E" w14:paraId="60A93B72" w14:textId="77777777" w:rsidTr="00C45CCA">
        <w:trPr>
          <w:trHeight w:val="641"/>
        </w:trPr>
        <w:tc>
          <w:tcPr>
            <w:tcW w:w="795" w:type="pct"/>
            <w:shd w:val="clear" w:color="auto" w:fill="auto"/>
            <w:vAlign w:val="center"/>
            <w:hideMark/>
          </w:tcPr>
          <w:p w14:paraId="71D160EE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0880819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44F89D3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10B4A15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7C9DAC2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7E2BE3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7CA6C25E" w14:textId="77777777" w:rsidTr="00C45CCA">
        <w:trPr>
          <w:trHeight w:val="641"/>
        </w:trPr>
        <w:tc>
          <w:tcPr>
            <w:tcW w:w="795" w:type="pct"/>
            <w:shd w:val="clear" w:color="auto" w:fill="auto"/>
            <w:vAlign w:val="center"/>
            <w:hideMark/>
          </w:tcPr>
          <w:p w14:paraId="575A65F8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GLY 18 μg BID </w:t>
            </w:r>
          </w:p>
          <w:p w14:paraId="4206C7F7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9.6 μg BID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193225A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289.4</w:t>
            </w:r>
          </w:p>
          <w:p w14:paraId="33DB1FC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(272.8, 306.3)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785E0FC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4B8FDE8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9595C9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4416AB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2ACC9898" w14:textId="77777777" w:rsidTr="00C45CCA">
        <w:trPr>
          <w:trHeight w:val="641"/>
        </w:trPr>
        <w:tc>
          <w:tcPr>
            <w:tcW w:w="795" w:type="pct"/>
            <w:shd w:val="clear" w:color="auto" w:fill="auto"/>
            <w:vAlign w:val="center"/>
            <w:hideMark/>
          </w:tcPr>
          <w:p w14:paraId="247B8796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</w:t>
            </w:r>
          </w:p>
          <w:p w14:paraId="320D4DA6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IND 110 μg OD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4368B01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294.6</w:t>
            </w:r>
          </w:p>
          <w:p w14:paraId="2237896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(260.6, 334.5)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479F906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4.6</w:t>
            </w:r>
          </w:p>
          <w:p w14:paraId="4F73CB0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(–27.7, 45.1)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283FF4C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389E431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A80D08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4344F623" w14:textId="77777777" w:rsidTr="00C45CCA">
        <w:trPr>
          <w:trHeight w:val="641"/>
        </w:trPr>
        <w:tc>
          <w:tcPr>
            <w:tcW w:w="795" w:type="pct"/>
            <w:shd w:val="clear" w:color="auto" w:fill="auto"/>
            <w:vAlign w:val="center"/>
            <w:hideMark/>
          </w:tcPr>
          <w:p w14:paraId="0606D8F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TIO 2.5 μg x 2 OD </w:t>
            </w:r>
          </w:p>
          <w:p w14:paraId="4FBF0640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OLO 2.5 μg x 2 OD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6E5FA2C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293.1</w:t>
            </w:r>
          </w:p>
          <w:p w14:paraId="65F3E0B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(269.4, 318.3)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57FFB5A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3.4</w:t>
            </w:r>
          </w:p>
          <w:p w14:paraId="07E888D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(–20.1, 30.6)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7ED7147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–1.5</w:t>
            </w:r>
          </w:p>
          <w:p w14:paraId="1C383FE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(–40.1, 32.7)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34F8E06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AC6AF6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6806403A" w14:textId="77777777" w:rsidTr="00C45CCA">
        <w:trPr>
          <w:trHeight w:val="641"/>
        </w:trPr>
        <w:tc>
          <w:tcPr>
            <w:tcW w:w="795" w:type="pct"/>
            <w:shd w:val="clear" w:color="auto" w:fill="auto"/>
            <w:vAlign w:val="center"/>
            <w:hideMark/>
          </w:tcPr>
          <w:p w14:paraId="47A37B20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</w:t>
            </w:r>
          </w:p>
          <w:p w14:paraId="65B74F5E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VIL 25 μg OD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446CB3B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288.8</w:t>
            </w:r>
          </w:p>
          <w:p w14:paraId="193698B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(257.8, 318.0)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5E8E8C2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–0.7</w:t>
            </w:r>
          </w:p>
          <w:p w14:paraId="1DA2EFC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(–28.1, 25.7)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0ED4C58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–5.2</w:t>
            </w:r>
          </w:p>
          <w:p w14:paraId="13AAED5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(–50.8, 30.1)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1F60E56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–4.1</w:t>
            </w:r>
          </w:p>
          <w:p w14:paraId="634D410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(–40.0, 26.7)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25C3EA7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</w:tbl>
    <w:p w14:paraId="52DAD3FA" w14:textId="77777777" w:rsidR="00C45CCA" w:rsidRPr="00182F1E" w:rsidRDefault="00C45CCA" w:rsidP="00C45CCA">
      <w:pP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Results are presented as mean difference (95% CrI). A positive treatment difference favors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treatment A</w:t>
      </w: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3002EEAB" w14:textId="77777777" w:rsidR="00C45CCA" w:rsidRPr="00182F1E" w:rsidRDefault="00C45CCA" w:rsidP="00C45CCA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eastAsia="Calibri" w:hAnsi="Times New Roman"/>
          <w:b/>
          <w:bCs w:val="0"/>
          <w:sz w:val="20"/>
          <w:szCs w:val="20"/>
          <w:lang w:val="en-US"/>
        </w:rPr>
      </w:pPr>
      <w:r w:rsidRPr="00182F1E">
        <w:rPr>
          <w:rFonts w:ascii="Times New Roman" w:hAnsi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/>
          <w:sz w:val="20"/>
          <w:szCs w:val="20"/>
          <w:lang w:val="en-US"/>
        </w:rPr>
        <w:t>AUC</w:t>
      </w:r>
      <w:r w:rsidRPr="00182F1E">
        <w:rPr>
          <w:rFonts w:ascii="Times New Roman" w:hAnsi="Times New Roman"/>
          <w:sz w:val="20"/>
          <w:szCs w:val="20"/>
          <w:vertAlign w:val="subscript"/>
          <w:lang w:val="en-US"/>
        </w:rPr>
        <w:t xml:space="preserve"> (0–4)</w:t>
      </w:r>
      <w:r w:rsidRPr="00182F1E">
        <w:rPr>
          <w:rFonts w:ascii="Times New Roman" w:hAnsi="Times New Roman"/>
          <w:sz w:val="20"/>
          <w:szCs w:val="20"/>
          <w:lang w:val="en-US"/>
        </w:rPr>
        <w:t>, area under the plasma concentration–time curve from 0 to 4 hours post-dose; BID, twice daily; CrI, credible interval; GLY, glycopyrrolate; FOR, formoterol fumarate; IND, indacaterol; OD, once daily; OLO, olodaterol; REM, random-effects model; TIO, tiotropium; UMEC, umeclidinium; VIL, vilanterol.</w:t>
      </w:r>
    </w:p>
    <w:p w14:paraId="7B8AEF95" w14:textId="77777777" w:rsidR="00C45CCA" w:rsidRDefault="00C45CCA" w:rsidP="00C45CCA">
      <w:r>
        <w:br w:type="page"/>
      </w:r>
    </w:p>
    <w:p w14:paraId="1C1622B0" w14:textId="14E76A64" w:rsidR="00C45CCA" w:rsidRPr="00182F1E" w:rsidRDefault="00C45CCA" w:rsidP="00C45CCA">
      <w:pPr>
        <w:keepNext/>
        <w:spacing w:after="24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7 </w:t>
      </w:r>
      <w:r w:rsidRPr="00182F1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NMA results for change from baseline in TDI focal scores at 24/26 weeks for each treatment comparison by study</w:t>
      </w:r>
      <w:r w:rsidRPr="00182F1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4-8</w:t>
      </w:r>
    </w:p>
    <w:tbl>
      <w:tblPr>
        <w:tblStyle w:val="Style1"/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2274"/>
        <w:gridCol w:w="2917"/>
        <w:gridCol w:w="2917"/>
        <w:gridCol w:w="2917"/>
        <w:gridCol w:w="2917"/>
      </w:tblGrid>
      <w:tr w:rsidR="00C45CCA" w:rsidRPr="00182F1E" w14:paraId="3A306595" w14:textId="77777777" w:rsidTr="00C45CCA">
        <w:trPr>
          <w:trHeight w:val="20"/>
        </w:trPr>
        <w:tc>
          <w:tcPr>
            <w:tcW w:w="816" w:type="pct"/>
            <w:shd w:val="clear" w:color="auto" w:fill="FFFFFF" w:themeFill="background1"/>
          </w:tcPr>
          <w:p w14:paraId="183D81A6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84" w:type="pct"/>
            <w:gridSpan w:val="4"/>
            <w:shd w:val="clear" w:color="auto" w:fill="FFFFFF" w:themeFill="background1"/>
            <w:vAlign w:val="center"/>
          </w:tcPr>
          <w:p w14:paraId="0AA36A44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C45CCA" w:rsidRPr="00182F1E" w14:paraId="04651B99" w14:textId="77777777" w:rsidTr="00C45CCA">
        <w:trPr>
          <w:trHeight w:val="20"/>
        </w:trPr>
        <w:tc>
          <w:tcPr>
            <w:tcW w:w="816" w:type="pct"/>
            <w:shd w:val="clear" w:color="auto" w:fill="FFFFFF" w:themeFill="background1"/>
            <w:vAlign w:val="center"/>
          </w:tcPr>
          <w:p w14:paraId="6DB5C56A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1046" w:type="pct"/>
            <w:shd w:val="clear" w:color="auto" w:fill="FFFFFF" w:themeFill="background1"/>
          </w:tcPr>
          <w:p w14:paraId="71636DDD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ACL/FOR 400/12 µg BID</w:t>
            </w:r>
          </w:p>
        </w:tc>
        <w:tc>
          <w:tcPr>
            <w:tcW w:w="1046" w:type="pct"/>
            <w:shd w:val="clear" w:color="auto" w:fill="FFFFFF" w:themeFill="background1"/>
          </w:tcPr>
          <w:p w14:paraId="0E7AA8F4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GLY/FOR 18/9.6 µg BID</w:t>
            </w:r>
          </w:p>
        </w:tc>
        <w:tc>
          <w:tcPr>
            <w:tcW w:w="1046" w:type="pct"/>
            <w:shd w:val="clear" w:color="auto" w:fill="FFFFFF" w:themeFill="background1"/>
          </w:tcPr>
          <w:p w14:paraId="12B06140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GLY/IND 50/100 µg OD</w:t>
            </w:r>
          </w:p>
        </w:tc>
        <w:tc>
          <w:tcPr>
            <w:tcW w:w="1046" w:type="pct"/>
            <w:shd w:val="clear" w:color="auto" w:fill="FFFFFF" w:themeFill="background1"/>
          </w:tcPr>
          <w:p w14:paraId="138F881A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TIO/OLO 5/5 µg OD</w:t>
            </w:r>
          </w:p>
        </w:tc>
      </w:tr>
      <w:tr w:rsidR="00C45CCA" w:rsidRPr="00182F1E" w14:paraId="66E8F89C" w14:textId="77777777" w:rsidTr="00C45CCA">
        <w:trPr>
          <w:trHeight w:val="20"/>
        </w:trPr>
        <w:tc>
          <w:tcPr>
            <w:tcW w:w="816" w:type="pct"/>
            <w:vAlign w:val="center"/>
          </w:tcPr>
          <w:p w14:paraId="35E0815E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GLY/FOR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18/9.6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BID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00CFC34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3D822865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Siddiqui 2019: –0.19</w:t>
            </w:r>
          </w:p>
          <w:p w14:paraId="455482BC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(–0.88, 0.13)</w:t>
            </w:r>
          </w:p>
        </w:tc>
        <w:tc>
          <w:tcPr>
            <w:tcW w:w="1046" w:type="pct"/>
          </w:tcPr>
          <w:p w14:paraId="562835A5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5F9EE27E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46" w:type="pct"/>
            <w:vAlign w:val="center"/>
          </w:tcPr>
          <w:p w14:paraId="6D63D6A9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46" w:type="pct"/>
            <w:vAlign w:val="center"/>
          </w:tcPr>
          <w:p w14:paraId="2A2EF7E6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C45CCA" w:rsidRPr="00182F1E" w14:paraId="43F07EFE" w14:textId="77777777" w:rsidTr="00C45CCA">
        <w:trPr>
          <w:trHeight w:val="20"/>
        </w:trPr>
        <w:tc>
          <w:tcPr>
            <w:tcW w:w="816" w:type="pct"/>
            <w:vAlign w:val="center"/>
          </w:tcPr>
          <w:p w14:paraId="12967282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GLY/IND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50/110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30B3A60A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76F5AC0A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0.08 </w:t>
            </w:r>
          </w:p>
          <w:p w14:paraId="49D5F6BD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(–0.30, 0.46)</w:t>
            </w:r>
          </w:p>
          <w:p w14:paraId="30679B49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–0.06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(–0.54, 0.43)</w:t>
            </w:r>
          </w:p>
          <w:p w14:paraId="11BD0535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REM: –0.07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(–0.65, 0.48)</w:t>
            </w:r>
          </w:p>
          <w:p w14:paraId="1B7D72E3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–0.06 </w:t>
            </w:r>
          </w:p>
          <w:p w14:paraId="36AD1D85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(–0.54, 0.41)</w:t>
            </w:r>
          </w:p>
          <w:p w14:paraId="2A5253DB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0.00 </w:t>
            </w:r>
          </w:p>
          <w:p w14:paraId="3367B88C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(–0.44, 0.38)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2D1FB158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33E358AF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0.19 </w:t>
            </w:r>
          </w:p>
          <w:p w14:paraId="33CDF1A4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(–0.12, 0.81)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7EBBDFAA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46" w:type="pct"/>
            <w:vAlign w:val="center"/>
          </w:tcPr>
          <w:p w14:paraId="08807AB7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C45CCA" w:rsidRPr="00182F1E" w14:paraId="114D9435" w14:textId="77777777" w:rsidTr="00C45CCA">
        <w:trPr>
          <w:trHeight w:val="20"/>
        </w:trPr>
        <w:tc>
          <w:tcPr>
            <w:tcW w:w="816" w:type="pct"/>
            <w:vAlign w:val="center"/>
          </w:tcPr>
          <w:p w14:paraId="7C44BF2B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TIO/OLO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5/5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7466E036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29B460BE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–0.19</w:t>
            </w:r>
          </w:p>
          <w:p w14:paraId="07F02CDF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(–0.69, 0.32)</w:t>
            </w:r>
          </w:p>
          <w:p w14:paraId="23F6244E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REM: –0.18</w:t>
            </w:r>
          </w:p>
          <w:p w14:paraId="34DB8E24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(–0.79, 0.41)</w:t>
            </w:r>
          </w:p>
          <w:p w14:paraId="65E8D1B1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–0.03 </w:t>
            </w:r>
          </w:p>
          <w:p w14:paraId="2FC1729B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(–0.59, 0.35) </w:t>
            </w:r>
          </w:p>
          <w:p w14:paraId="2B566F17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Sion 2017: –0.18</w:t>
            </w:r>
          </w:p>
          <w:p w14:paraId="2DF08379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(–0.68, 0.32)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7EF082AF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6BD26995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0.13 </w:t>
            </w:r>
          </w:p>
          <w:p w14:paraId="02297CA2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(–0.20, 0.76)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0C9EFDF0" w14:textId="77777777" w:rsidR="00C45CCA" w:rsidRPr="00182F1E" w:rsidRDefault="00C45CCA" w:rsidP="00C45CCA">
            <w:pPr>
              <w:shd w:val="clear" w:color="auto" w:fill="D0CECE" w:themeFill="background2" w:themeFillShade="E6"/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4A80A4AD" w14:textId="77777777" w:rsidR="00C45CCA" w:rsidRPr="00182F1E" w:rsidRDefault="00C45CCA" w:rsidP="00C45CCA">
            <w:pPr>
              <w:pStyle w:val="TableBodyText-H54"/>
              <w:keepLines w:val="0"/>
              <w:shd w:val="clear" w:color="auto" w:fill="D0CECE" w:themeFill="background2" w:themeFillShade="E6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–0.13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(–0.48, 0.23)</w:t>
            </w:r>
          </w:p>
          <w:p w14:paraId="443A4C11" w14:textId="77777777" w:rsidR="00C45CCA" w:rsidRPr="00182F1E" w:rsidRDefault="00C45CCA" w:rsidP="00C45CCA">
            <w:pPr>
              <w:pStyle w:val="TableBodyText-H54"/>
              <w:keepLines w:val="0"/>
              <w:shd w:val="clear" w:color="auto" w:fill="D0CECE" w:themeFill="background2" w:themeFillShade="E6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REM: –0.12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(–0.60, 0.40)</w:t>
            </w:r>
          </w:p>
          <w:p w14:paraId="0B8500D2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Siddiqui 2019</w:t>
            </w:r>
            <w:r w:rsidRPr="00182F1E">
              <w:rPr>
                <w:rFonts w:ascii="Times New Roman" w:eastAsia="Tahoma" w:hAnsi="Times New Roman"/>
                <w:sz w:val="20"/>
                <w:lang w:val="en-US"/>
              </w:rPr>
              <w:t>: –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0.03 </w:t>
            </w:r>
          </w:p>
          <w:p w14:paraId="087D2733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(–0.5, 0.33)</w:t>
            </w:r>
          </w:p>
          <w:p w14:paraId="445577C4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–0.12 </w:t>
            </w:r>
          </w:p>
          <w:p w14:paraId="1DE06270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(–0.47, 0.23)</w:t>
            </w:r>
          </w:p>
        </w:tc>
        <w:tc>
          <w:tcPr>
            <w:tcW w:w="1046" w:type="pct"/>
            <w:vAlign w:val="center"/>
          </w:tcPr>
          <w:p w14:paraId="442D1A0F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C45CCA" w:rsidRPr="00182F1E" w14:paraId="6E7F85A9" w14:textId="77777777" w:rsidTr="00C45CCA">
        <w:trPr>
          <w:trHeight w:val="20"/>
        </w:trPr>
        <w:tc>
          <w:tcPr>
            <w:tcW w:w="816" w:type="pct"/>
            <w:vAlign w:val="center"/>
          </w:tcPr>
          <w:p w14:paraId="683B782A" w14:textId="77777777" w:rsidR="00C45CCA" w:rsidRPr="00182F1E" w:rsidRDefault="00C45CCA" w:rsidP="00C45CCA">
            <w:pPr>
              <w:pStyle w:val="TableHeading-H56"/>
              <w:keepNext w:val="0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UMEC/VIL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62.5/25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4C7DC4F7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0FFA0C2E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–0.33 </w:t>
            </w:r>
          </w:p>
          <w:p w14:paraId="06B1E907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(–0.75, 0.10)</w:t>
            </w:r>
          </w:p>
          <w:p w14:paraId="72455A60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–0.42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(–0.94, 0.11)</w:t>
            </w:r>
          </w:p>
          <w:p w14:paraId="69A914DA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REM: –0.41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(–0.98, 0.15)</w:t>
            </w:r>
          </w:p>
          <w:p w14:paraId="1691D254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–0.06 </w:t>
            </w:r>
          </w:p>
          <w:p w14:paraId="733E9FE7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(–0.57, 0.24) </w:t>
            </w:r>
          </w:p>
          <w:p w14:paraId="44895462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–0.36 </w:t>
            </w:r>
          </w:p>
          <w:p w14:paraId="637709FE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(–0.88, 0.16)</w:t>
            </w:r>
          </w:p>
          <w:p w14:paraId="68C73FAB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3EE280A0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126D5D7C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0.12 </w:t>
            </w:r>
          </w:p>
          <w:p w14:paraId="08A80BFB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(–0.16, 0.53)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31E05CEC" w14:textId="77777777" w:rsidR="00C45CCA" w:rsidRPr="00182F1E" w:rsidRDefault="00C45CCA" w:rsidP="00C45CCA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0759A12E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–0.41 </w:t>
            </w:r>
          </w:p>
          <w:p w14:paraId="14891437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(–0.85, 0.04) </w:t>
            </w:r>
          </w:p>
          <w:p w14:paraId="69D945CA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Huisman 2015: </w:t>
            </w:r>
          </w:p>
          <w:p w14:paraId="4F573EFB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–0.30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(–0.73, 0.13)</w:t>
            </w:r>
          </w:p>
          <w:p w14:paraId="611812E6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–0.36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(–0.75, 0.04)</w:t>
            </w:r>
          </w:p>
          <w:p w14:paraId="7399FB16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REM: –0.34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 xml:space="preserve">(–0.83, 0.15) </w:t>
            </w:r>
          </w:p>
          <w:p w14:paraId="75426CA8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–0.06 </w:t>
            </w:r>
          </w:p>
          <w:p w14:paraId="104F5801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(–0.51, 0.22)</w:t>
            </w:r>
          </w:p>
          <w:p w14:paraId="4EEFD24A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–0.30 </w:t>
            </w:r>
          </w:p>
          <w:p w14:paraId="61633600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(–0.71, 0.11)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14:paraId="361B8507" w14:textId="77777777" w:rsidR="00C45CCA" w:rsidRPr="00182F1E" w:rsidRDefault="00C45CCA" w:rsidP="00C45CCA">
            <w:pPr>
              <w:pStyle w:val="TableBodyText-H54"/>
              <w:spacing w:line="36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>↔</w:t>
            </w:r>
          </w:p>
          <w:p w14:paraId="58CB2E04" w14:textId="77777777" w:rsidR="00C45CCA" w:rsidRPr="00182F1E" w:rsidRDefault="00C45CCA" w:rsidP="00C45CCA">
            <w:pPr>
              <w:pStyle w:val="TableBodyText-H54"/>
              <w:spacing w:line="36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>Schlueter 2016 FEM: –0.23</w:t>
            </w:r>
          </w:p>
          <w:p w14:paraId="05B12C71" w14:textId="77777777" w:rsidR="00C45CCA" w:rsidRPr="00182F1E" w:rsidRDefault="00C45CCA" w:rsidP="00C45CCA">
            <w:pPr>
              <w:pStyle w:val="TableBodyText-H54"/>
              <w:spacing w:line="36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>(–0.66, 0.19)</w:t>
            </w:r>
          </w:p>
          <w:p w14:paraId="7902AE7C" w14:textId="77777777" w:rsidR="00C45CCA" w:rsidRPr="00182F1E" w:rsidRDefault="00C45CCA" w:rsidP="00C45CCA">
            <w:pPr>
              <w:pStyle w:val="TableBodyText-H54"/>
              <w:spacing w:line="36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>Schlueter 2016 REM: –0.23</w:t>
            </w:r>
          </w:p>
          <w:p w14:paraId="76ECB72A" w14:textId="77777777" w:rsidR="00C45CCA" w:rsidRPr="00182F1E" w:rsidRDefault="00C45CCA" w:rsidP="00C45CCA">
            <w:pPr>
              <w:pStyle w:val="TableBodyText-H54"/>
              <w:spacing w:line="36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>(–0.75, 0.29)</w:t>
            </w:r>
          </w:p>
          <w:p w14:paraId="723BCAA7" w14:textId="77777777" w:rsidR="00C45CCA" w:rsidRPr="00182F1E" w:rsidRDefault="00C45CCA" w:rsidP="00C45CCA">
            <w:pPr>
              <w:pStyle w:val="TableBodyText-H54"/>
              <w:spacing w:line="36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 xml:space="preserve">Siddiqui 2019: –0.01 </w:t>
            </w:r>
          </w:p>
          <w:p w14:paraId="7ADA675E" w14:textId="77777777" w:rsidR="00C45CCA" w:rsidRPr="00182F1E" w:rsidRDefault="00C45CCA" w:rsidP="00C45CCA">
            <w:pPr>
              <w:pStyle w:val="TableBodyText-H54"/>
              <w:spacing w:line="36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>(–0.46, 0.34)</w:t>
            </w:r>
          </w:p>
          <w:p w14:paraId="27BC8759" w14:textId="77777777" w:rsidR="00C45CCA" w:rsidRPr="00182F1E" w:rsidRDefault="00C45CCA" w:rsidP="00C45CCA">
            <w:pPr>
              <w:pStyle w:val="TableBodyText-H54"/>
              <w:spacing w:line="36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 xml:space="preserve">Sion 2017: –0.18 </w:t>
            </w:r>
          </w:p>
          <w:p w14:paraId="06A1211A" w14:textId="77777777" w:rsidR="00C45CCA" w:rsidRPr="00182F1E" w:rsidRDefault="00C45CCA" w:rsidP="00C45CCA">
            <w:pPr>
              <w:pStyle w:val="TableBodyText-H54"/>
              <w:keepLines w:val="0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auto"/>
                <w:sz w:val="20"/>
                <w:lang w:val="en-US"/>
              </w:rPr>
              <w:t xml:space="preserve">(–0.61, 0.26) </w:t>
            </w:r>
          </w:p>
        </w:tc>
      </w:tr>
    </w:tbl>
    <w:p w14:paraId="2D378C79" w14:textId="064C44D7" w:rsidR="00C45CCA" w:rsidRPr="00182F1E" w:rsidRDefault="00C45CCA" w:rsidP="00C45CCA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eastAsia="Calibri" w:hAnsi="Times New Roman"/>
          <w:bCs w:val="0"/>
          <w:sz w:val="20"/>
          <w:szCs w:val="20"/>
        </w:rPr>
      </w:pPr>
      <w:r w:rsidRPr="00182F1E">
        <w:rPr>
          <w:rFonts w:ascii="Times New Roman" w:eastAsia="Tahoma" w:hAnsi="Times New Roman" w:cstheme="minorBidi"/>
          <w:bCs w:val="0"/>
          <w:sz w:val="20"/>
          <w:szCs w:val="20"/>
          <w:lang w:val="en-US"/>
        </w:rPr>
        <w:t>Results are presented as mean difference (Aziz et al reported 95% CI,</w:t>
      </w:r>
      <w:r w:rsidRPr="00182F1E">
        <w:rPr>
          <w:rFonts w:ascii="Times New Roman" w:eastAsia="Tahoma" w:hAnsi="Times New Roman" w:cstheme="minorBidi"/>
          <w:bCs w:val="0"/>
          <w:sz w:val="20"/>
          <w:szCs w:val="20"/>
          <w:vertAlign w:val="superscript"/>
          <w:lang w:val="en-US"/>
        </w:rPr>
        <w:t xml:space="preserve"> </w:t>
      </w:r>
      <w:r w:rsidRPr="00182F1E">
        <w:rPr>
          <w:rFonts w:ascii="Times New Roman" w:eastAsia="Tahoma" w:hAnsi="Times New Roman" w:cstheme="minorBidi"/>
          <w:bCs w:val="0"/>
          <w:sz w:val="20"/>
          <w:szCs w:val="20"/>
          <w:lang w:val="en-US"/>
        </w:rPr>
        <w:t>other studies reported 95% CrI).</w:t>
      </w:r>
      <w:r w:rsidRPr="00182F1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82F1E">
        <w:rPr>
          <w:rFonts w:ascii="Times New Roman" w:eastAsia="Calibri" w:hAnsi="Times New Roman"/>
          <w:bCs w:val="0"/>
          <w:sz w:val="20"/>
          <w:szCs w:val="20"/>
        </w:rPr>
        <w:t>Siddiqui</w:t>
      </w:r>
      <w:r w:rsidRPr="00182F1E">
        <w:rPr>
          <w:rFonts w:ascii="Times New Roman" w:eastAsia="Calibri" w:hAnsi="Times New Roman"/>
          <w:sz w:val="20"/>
          <w:szCs w:val="20"/>
        </w:rPr>
        <w:t xml:space="preserve"> 2019 reports data for GLY/FOR 18/9.6 µg vs other LAMA/LABAs FDCs. For completeness, comparisons between all LAMA/LABA FDCs in the NMA described in Siddiqui 2019 are pr</w:t>
      </w:r>
      <w:r w:rsidRPr="00182F1E">
        <w:rPr>
          <w:rFonts w:ascii="Times New Roman" w:eastAsia="Calibri" w:hAnsi="Times New Roman"/>
          <w:bCs w:val="0"/>
          <w:sz w:val="20"/>
          <w:szCs w:val="20"/>
        </w:rPr>
        <w:t>ovided in Supplementary Table 1</w:t>
      </w:r>
      <w:r w:rsidR="005F02F4">
        <w:rPr>
          <w:rFonts w:ascii="Times New Roman" w:eastAsia="Calibri" w:hAnsi="Times New Roman"/>
          <w:bCs w:val="0"/>
          <w:sz w:val="20"/>
          <w:szCs w:val="20"/>
        </w:rPr>
        <w:t>1</w:t>
      </w:r>
      <w:r w:rsidRPr="00182F1E">
        <w:rPr>
          <w:rFonts w:ascii="Times New Roman" w:eastAsia="Calibri" w:hAnsi="Times New Roman"/>
          <w:bCs w:val="0"/>
          <w:sz w:val="20"/>
          <w:szCs w:val="20"/>
        </w:rPr>
        <w:t>.</w:t>
      </w:r>
    </w:p>
    <w:p w14:paraId="4714BCF9" w14:textId="77777777" w:rsidR="00C45CCA" w:rsidRPr="00182F1E" w:rsidRDefault="00C45CCA" w:rsidP="00C45CCA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eastAsia="Tahoma" w:hAnsi="Times New Roman"/>
          <w:sz w:val="20"/>
          <w:szCs w:val="20"/>
          <w:lang w:val="en-US"/>
        </w:rPr>
      </w:pPr>
      <w:r w:rsidRPr="00182F1E">
        <w:rPr>
          <w:rFonts w:ascii="Times New Roman" w:eastAsia="Calibri" w:hAnsi="Times New Roman"/>
          <w:bCs w:val="0"/>
          <w:sz w:val="20"/>
          <w:szCs w:val="20"/>
          <w:lang w:val="en-US"/>
        </w:rPr>
        <w:t>↔Statistically non-significant (dark gray shading).</w:t>
      </w:r>
    </w:p>
    <w:p w14:paraId="01A26D16" w14:textId="77777777" w:rsidR="00C45CCA" w:rsidRPr="00182F1E" w:rsidRDefault="00C45CCA" w:rsidP="00C45CCA">
      <w:pPr>
        <w:spacing w:after="12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2F1E">
        <w:rPr>
          <w:rFonts w:ascii="Times New Roman" w:eastAsia="Tahoma" w:hAnsi="Times New Roman"/>
          <w:b/>
          <w:color w:val="000000" w:themeColor="text1"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eastAsia="Tahoma" w:hAnsi="Times New Roman"/>
          <w:color w:val="000000" w:themeColor="text1"/>
          <w:sz w:val="20"/>
          <w:szCs w:val="20"/>
          <w:lang w:val="en-US"/>
        </w:rPr>
        <w:t xml:space="preserve">ACL, aclidinium;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BID, t</w:t>
      </w:r>
      <w:r w:rsidRPr="00182F1E">
        <w:rPr>
          <w:rFonts w:ascii="Times New Roman" w:eastAsia="Tahoma" w:hAnsi="Times New Roman"/>
          <w:color w:val="000000" w:themeColor="text1"/>
          <w:sz w:val="20"/>
          <w:szCs w:val="20"/>
          <w:lang w:val="en-US"/>
        </w:rPr>
        <w:t>wice daily; CI, confidence interval;</w:t>
      </w:r>
      <w:r w:rsidRPr="00182F1E">
        <w:rPr>
          <w:rFonts w:ascii="Times New Roman" w:hAnsi="Times New Roman"/>
          <w:sz w:val="20"/>
          <w:szCs w:val="20"/>
          <w:lang w:val="en-US"/>
        </w:rPr>
        <w:t xml:space="preserve"> CrI, credible interval;</w:t>
      </w:r>
      <w:r w:rsidRPr="00182F1E">
        <w:rPr>
          <w:rFonts w:ascii="Times New Roman" w:eastAsia="Tahoma" w:hAnsi="Times New Roman"/>
          <w:color w:val="000000" w:themeColor="text1"/>
          <w:sz w:val="20"/>
          <w:szCs w:val="20"/>
          <w:lang w:val="en-US"/>
        </w:rPr>
        <w:t xml:space="preserve"> FEM, fixed-effects model; FOR, formoterol fumarate; GLY, glycopyrrolate; IND, indacaterol; NMA, network meta-analysis;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OD, once</w:t>
      </w:r>
      <w:r w:rsidRPr="00182F1E">
        <w:rPr>
          <w:rFonts w:ascii="Times New Roman" w:eastAsia="Tahoma" w:hAnsi="Times New Roman"/>
          <w:color w:val="000000" w:themeColor="text1"/>
          <w:sz w:val="20"/>
          <w:szCs w:val="20"/>
          <w:lang w:val="en-US"/>
        </w:rPr>
        <w:t xml:space="preserve"> daily; OLO, olodaterol; REM, random-effects model; TDI, Transition Dyspnea Index; TIO, tiotropium; UMEC, umeclidinium; VIL, vilanterol.</w:t>
      </w:r>
    </w:p>
    <w:p w14:paraId="4F3F8330" w14:textId="77777777" w:rsidR="00C45CCA" w:rsidRDefault="00C45CCA" w:rsidP="00C45CCA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14:paraId="5298A9FF" w14:textId="1A64EE12" w:rsidR="00C45CCA" w:rsidRPr="00182F1E" w:rsidRDefault="00C45CCA" w:rsidP="00C45CCA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8 </w:t>
      </w:r>
      <w:r w:rsidRPr="00182F1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NMA results for change from baseline in SGRQ total scores at 24/26 weeks for each treatment comparison by study</w:t>
      </w:r>
      <w:r w:rsidRPr="00182F1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4-8</w:t>
      </w:r>
    </w:p>
    <w:tbl>
      <w:tblPr>
        <w:tblpPr w:leftFromText="180" w:rightFromText="180" w:vertAnchor="text" w:horzAnchor="margin" w:tblpY="745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2416"/>
        <w:gridCol w:w="2880"/>
        <w:gridCol w:w="2880"/>
        <w:gridCol w:w="2880"/>
        <w:gridCol w:w="2882"/>
      </w:tblGrid>
      <w:tr w:rsidR="00C45CCA" w:rsidRPr="00182F1E" w14:paraId="023E6D26" w14:textId="77777777" w:rsidTr="00C45CCA">
        <w:trPr>
          <w:trHeight w:val="406"/>
        </w:trPr>
        <w:tc>
          <w:tcPr>
            <w:tcW w:w="867" w:type="pct"/>
            <w:shd w:val="clear" w:color="auto" w:fill="FFFFFF" w:themeFill="background1"/>
            <w:noWrap/>
            <w:hideMark/>
          </w:tcPr>
          <w:p w14:paraId="45BE6D9C" w14:textId="77777777" w:rsidR="00C45CCA" w:rsidRPr="00182F1E" w:rsidRDefault="00C45CCA" w:rsidP="00C45CCA">
            <w:pPr>
              <w:pStyle w:val="TableHeading-H56"/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4133" w:type="pct"/>
            <w:gridSpan w:val="4"/>
            <w:shd w:val="clear" w:color="auto" w:fill="FFFFFF" w:themeFill="background1"/>
            <w:noWrap/>
            <w:vAlign w:val="center"/>
          </w:tcPr>
          <w:p w14:paraId="357FC893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C45CCA" w:rsidRPr="00182F1E" w14:paraId="11C86381" w14:textId="77777777" w:rsidTr="00C45CCA">
        <w:trPr>
          <w:trHeight w:val="20"/>
        </w:trPr>
        <w:tc>
          <w:tcPr>
            <w:tcW w:w="867" w:type="pct"/>
            <w:noWrap/>
            <w:vAlign w:val="center"/>
          </w:tcPr>
          <w:p w14:paraId="2FEDF1B2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1033" w:type="pct"/>
            <w:noWrap/>
          </w:tcPr>
          <w:p w14:paraId="565DF78E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ACL/FOR 400/12 µg BID</w:t>
            </w:r>
          </w:p>
        </w:tc>
        <w:tc>
          <w:tcPr>
            <w:tcW w:w="1033" w:type="pct"/>
          </w:tcPr>
          <w:p w14:paraId="6DEEF4C6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GLY/FOR 18/9.6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BID</w:t>
            </w:r>
          </w:p>
        </w:tc>
        <w:tc>
          <w:tcPr>
            <w:tcW w:w="1033" w:type="pct"/>
          </w:tcPr>
          <w:p w14:paraId="0331493E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GLY/IND 50/110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034" w:type="pct"/>
            <w:noWrap/>
          </w:tcPr>
          <w:p w14:paraId="14D38600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TIO/OLO 5/5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</w:tr>
      <w:tr w:rsidR="00C45CCA" w:rsidRPr="00182F1E" w14:paraId="7B934CD2" w14:textId="77777777" w:rsidTr="00C45CCA">
        <w:trPr>
          <w:trHeight w:val="20"/>
        </w:trPr>
        <w:tc>
          <w:tcPr>
            <w:tcW w:w="867" w:type="pct"/>
            <w:noWrap/>
          </w:tcPr>
          <w:p w14:paraId="4F9E0A81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GLY/FOR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18/9.6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BID</w:t>
            </w:r>
          </w:p>
        </w:tc>
        <w:tc>
          <w:tcPr>
            <w:tcW w:w="1033" w:type="pct"/>
            <w:shd w:val="clear" w:color="auto" w:fill="D0CECE" w:themeFill="background2" w:themeFillShade="E6"/>
          </w:tcPr>
          <w:p w14:paraId="7D05CB01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6249E4E4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–0.05 </w:t>
            </w:r>
          </w:p>
          <w:p w14:paraId="47DEDEA9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(–1.72, 1.02)</w:t>
            </w:r>
          </w:p>
        </w:tc>
        <w:tc>
          <w:tcPr>
            <w:tcW w:w="1033" w:type="pct"/>
          </w:tcPr>
          <w:p w14:paraId="4C10DF72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33" w:type="pct"/>
          </w:tcPr>
          <w:p w14:paraId="3E590164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34" w:type="pct"/>
          </w:tcPr>
          <w:p w14:paraId="77971F29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C45CCA" w:rsidRPr="00182F1E" w14:paraId="797F5907" w14:textId="77777777" w:rsidTr="00C45CCA">
        <w:trPr>
          <w:trHeight w:val="20"/>
        </w:trPr>
        <w:tc>
          <w:tcPr>
            <w:tcW w:w="867" w:type="pct"/>
            <w:hideMark/>
          </w:tcPr>
          <w:p w14:paraId="5CF707E7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GLY/IND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50/110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033" w:type="pct"/>
            <w:shd w:val="clear" w:color="auto" w:fill="D0CECE" w:themeFill="background2" w:themeFillShade="E6"/>
            <w:noWrap/>
            <w:hideMark/>
          </w:tcPr>
          <w:p w14:paraId="0BF70D40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1FC40C0C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0.12 </w:t>
            </w:r>
          </w:p>
          <w:p w14:paraId="3F0ED9E3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(–2.85, 3.10)</w:t>
            </w:r>
          </w:p>
          <w:p w14:paraId="37C9B5C7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Schlueter 2016 FEM: –0.82 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(–2.83, 1.21)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–0.98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(–4.04, 1.85)</w:t>
            </w:r>
          </w:p>
          <w:p w14:paraId="504F64BD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–0.29 </w:t>
            </w:r>
          </w:p>
          <w:p w14:paraId="10D89183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(–2.7, 0.63)</w:t>
            </w:r>
          </w:p>
          <w:p w14:paraId="5F5302D0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–1.49 </w:t>
            </w:r>
          </w:p>
          <w:p w14:paraId="0E9FD68F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(–3.38, 0.40)</w:t>
            </w:r>
          </w:p>
        </w:tc>
        <w:tc>
          <w:tcPr>
            <w:tcW w:w="1033" w:type="pct"/>
            <w:shd w:val="clear" w:color="auto" w:fill="D0CECE" w:themeFill="background2" w:themeFillShade="E6"/>
          </w:tcPr>
          <w:p w14:paraId="24F6DC21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2D67AFF6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–0.21 </w:t>
            </w:r>
          </w:p>
          <w:p w14:paraId="7DD63F43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(–2.03, 0.7)</w:t>
            </w:r>
          </w:p>
        </w:tc>
        <w:tc>
          <w:tcPr>
            <w:tcW w:w="1033" w:type="pct"/>
            <w:hideMark/>
          </w:tcPr>
          <w:p w14:paraId="1F45F7CF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34" w:type="pct"/>
          </w:tcPr>
          <w:p w14:paraId="5A408D73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C45CCA" w:rsidRPr="00182F1E" w14:paraId="4AFC514E" w14:textId="77777777" w:rsidTr="00C45CCA">
        <w:trPr>
          <w:trHeight w:val="20"/>
        </w:trPr>
        <w:tc>
          <w:tcPr>
            <w:tcW w:w="867" w:type="pct"/>
            <w:noWrap/>
            <w:hideMark/>
          </w:tcPr>
          <w:p w14:paraId="25876319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TIO/OLO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5/5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033" w:type="pct"/>
            <w:shd w:val="clear" w:color="auto" w:fill="D0CECE" w:themeFill="background2" w:themeFillShade="E6"/>
            <w:noWrap/>
            <w:hideMark/>
          </w:tcPr>
          <w:p w14:paraId="55F16BCE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29C1A0BE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–0.39 </w:t>
            </w:r>
          </w:p>
          <w:p w14:paraId="044069E0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(–5.20, 4.42)</w:t>
            </w:r>
          </w:p>
          <w:p w14:paraId="362A697A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–0.57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(–2.66, 1.53)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–0.74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(–4.31, 2.54)</w:t>
            </w:r>
          </w:p>
          <w:p w14:paraId="141D4284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–0.15 </w:t>
            </w:r>
          </w:p>
          <w:p w14:paraId="418D8996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(–2.06, 0.89)</w:t>
            </w:r>
          </w:p>
          <w:p w14:paraId="6DE40BD7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–0.96 </w:t>
            </w:r>
          </w:p>
          <w:p w14:paraId="60A73AD4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(–2.91, 0.99)</w:t>
            </w:r>
          </w:p>
        </w:tc>
        <w:tc>
          <w:tcPr>
            <w:tcW w:w="1033" w:type="pct"/>
            <w:shd w:val="clear" w:color="auto" w:fill="D0CECE" w:themeFill="background2" w:themeFillShade="E6"/>
          </w:tcPr>
          <w:p w14:paraId="0A88BD72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3AD87D81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–0.07 </w:t>
            </w:r>
          </w:p>
          <w:p w14:paraId="1E539575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(–1.43, 0.96)</w:t>
            </w:r>
          </w:p>
        </w:tc>
        <w:tc>
          <w:tcPr>
            <w:tcW w:w="1033" w:type="pct"/>
            <w:shd w:val="clear" w:color="auto" w:fill="D0CECE" w:themeFill="background2" w:themeFillShade="E6"/>
            <w:hideMark/>
          </w:tcPr>
          <w:p w14:paraId="079969F2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2382247C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–0.51 </w:t>
            </w:r>
          </w:p>
          <w:p w14:paraId="52BE6C08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(–5.05, 4.02)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FEM: 0.25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(–1.31, 1.81)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0.22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(–2.78, 3.23)</w:t>
            </w:r>
          </w:p>
          <w:p w14:paraId="6E435794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Siddiqui 2019: 0.10</w:t>
            </w:r>
          </w:p>
          <w:p w14:paraId="2883BF74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(–0.92, 1.8)</w:t>
            </w:r>
          </w:p>
          <w:p w14:paraId="61549430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0.53 </w:t>
            </w:r>
          </w:p>
          <w:p w14:paraId="04C5E77B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(–0.95, 2.00)</w:t>
            </w:r>
          </w:p>
        </w:tc>
        <w:tc>
          <w:tcPr>
            <w:tcW w:w="1034" w:type="pct"/>
            <w:hideMark/>
          </w:tcPr>
          <w:p w14:paraId="374E1EB2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C45CCA" w:rsidRPr="00182F1E" w14:paraId="0272A80B" w14:textId="77777777" w:rsidTr="00C45CCA">
        <w:trPr>
          <w:trHeight w:val="20"/>
        </w:trPr>
        <w:tc>
          <w:tcPr>
            <w:tcW w:w="867" w:type="pct"/>
            <w:noWrap/>
            <w:hideMark/>
          </w:tcPr>
          <w:p w14:paraId="4CC7F17B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UMEC/VIL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62.5/25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033" w:type="pct"/>
            <w:shd w:val="clear" w:color="auto" w:fill="D0CECE" w:themeFill="background2" w:themeFillShade="E6"/>
            <w:noWrap/>
            <w:hideMark/>
          </w:tcPr>
          <w:p w14:paraId="2D87D4DA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4EFD6884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–0.27 </w:t>
            </w:r>
          </w:p>
          <w:p w14:paraId="6A9F6811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(–3.27, 2.72)</w:t>
            </w:r>
          </w:p>
          <w:p w14:paraId="00684566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–1.11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(–3.13, 0.92)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–1.16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(–3.98, 1.60)</w:t>
            </w:r>
          </w:p>
          <w:p w14:paraId="3B3AF8C7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–0.12 </w:t>
            </w:r>
          </w:p>
          <w:p w14:paraId="6066AFE7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(–2.04, 0.89)</w:t>
            </w:r>
          </w:p>
          <w:p w14:paraId="5E770F53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–1.31 </w:t>
            </w:r>
          </w:p>
          <w:p w14:paraId="1893DE43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(–3.24, 0.60)</w:t>
            </w:r>
          </w:p>
        </w:tc>
        <w:tc>
          <w:tcPr>
            <w:tcW w:w="1033" w:type="pct"/>
            <w:shd w:val="clear" w:color="auto" w:fill="D0CECE" w:themeFill="background2" w:themeFillShade="E6"/>
          </w:tcPr>
          <w:p w14:paraId="7BC27485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6DFD1DC1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–0.06 </w:t>
            </w:r>
          </w:p>
          <w:p w14:paraId="226B76AB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(–1.35, 0.94)</w:t>
            </w:r>
          </w:p>
        </w:tc>
        <w:tc>
          <w:tcPr>
            <w:tcW w:w="1033" w:type="pct"/>
            <w:shd w:val="clear" w:color="auto" w:fill="D0CECE" w:themeFill="background2" w:themeFillShade="E6"/>
            <w:hideMark/>
          </w:tcPr>
          <w:p w14:paraId="0FB433D9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0F35C861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–0.40 </w:t>
            </w:r>
          </w:p>
          <w:p w14:paraId="1D54DBBA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(–2.78, 1.98)</w:t>
            </w:r>
          </w:p>
          <w:p w14:paraId="5B7E21AC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Huisman 2015: 0.18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(–1.28, 1.63)</w:t>
            </w:r>
          </w:p>
          <w:p w14:paraId="10DE98AE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–0.30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(–1.82, 1.23)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–0.18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(–2.48, 2.29)</w:t>
            </w:r>
          </w:p>
          <w:p w14:paraId="469412D8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0.12 </w:t>
            </w:r>
          </w:p>
          <w:p w14:paraId="39A3B4D2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(–0.86, 1.74)</w:t>
            </w:r>
          </w:p>
          <w:p w14:paraId="585CB9A6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0.18 </w:t>
            </w:r>
          </w:p>
          <w:p w14:paraId="784AFB94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(–1.28, 1.63)</w:t>
            </w:r>
          </w:p>
        </w:tc>
        <w:tc>
          <w:tcPr>
            <w:tcW w:w="1034" w:type="pct"/>
            <w:shd w:val="clear" w:color="auto" w:fill="D0CECE" w:themeFill="background2" w:themeFillShade="E6"/>
            <w:hideMark/>
          </w:tcPr>
          <w:p w14:paraId="6FA25AA4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427C4BC6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0.12 </w:t>
            </w:r>
          </w:p>
          <w:p w14:paraId="3573D10F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(–4.43, 4.66)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FEM: –0.54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(–2.06, 0.97)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–0.41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(–3.11, 2.52)</w:t>
            </w:r>
          </w:p>
          <w:p w14:paraId="3727F608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0.01 </w:t>
            </w:r>
          </w:p>
          <w:p w14:paraId="1316529F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(–1.17, 1.17)</w:t>
            </w:r>
          </w:p>
          <w:p w14:paraId="5A6C5CB3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Sion 2017: –0.35 </w:t>
            </w:r>
          </w:p>
          <w:p w14:paraId="0A2D2F0C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(–1.87, 1.17)</w:t>
            </w:r>
          </w:p>
        </w:tc>
      </w:tr>
    </w:tbl>
    <w:p w14:paraId="03A568D2" w14:textId="36F68E6F" w:rsidR="00C45CCA" w:rsidRPr="00182F1E" w:rsidRDefault="00C45CCA" w:rsidP="00C45CCA">
      <w:pPr>
        <w:spacing w:line="360" w:lineRule="auto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Results are presented as mean treatment difference in change from baseline </w:t>
      </w:r>
      <w:r w:rsidRPr="00182F1E">
        <w:rPr>
          <w:rFonts w:ascii="Times New Roman" w:eastAsia="Tahoma" w:hAnsi="Times New Roman"/>
          <w:bCs/>
          <w:sz w:val="20"/>
          <w:szCs w:val="20"/>
          <w:lang w:val="en-US"/>
        </w:rPr>
        <w:t xml:space="preserve">(Aziz et al reported 95% CI, other studies reported 95% CrI). </w:t>
      </w:r>
      <w:r w:rsidRPr="00182F1E">
        <w:rPr>
          <w:rFonts w:ascii="Times New Roman" w:eastAsia="Calibri" w:hAnsi="Times New Roman"/>
          <w:sz w:val="20"/>
          <w:szCs w:val="20"/>
        </w:rPr>
        <w:t xml:space="preserve">Siddiqui 2019 reports data for GLY/FOR 18/9.6 µg </w:t>
      </w:r>
      <w:r w:rsidRPr="00182F1E">
        <w:rPr>
          <w:rFonts w:ascii="Times New Roman" w:eastAsia="Calibri" w:hAnsi="Times New Roman" w:cs="Times New Roman"/>
          <w:bCs/>
          <w:sz w:val="20"/>
          <w:szCs w:val="20"/>
        </w:rPr>
        <w:t xml:space="preserve">vs other LAMA/LABAs FDCs. For completeness, comparisons between all LAMA/LABA FDCs in the NMA described in Siddiqui 2019 are provided in Supplementary Table </w:t>
      </w:r>
      <w:r w:rsidRPr="00182F1E">
        <w:rPr>
          <w:rFonts w:ascii="Times New Roman" w:eastAsia="Calibri" w:hAnsi="Times New Roman"/>
          <w:bCs/>
          <w:sz w:val="20"/>
          <w:szCs w:val="20"/>
        </w:rPr>
        <w:t>1</w:t>
      </w:r>
      <w:r w:rsidR="005F02F4">
        <w:rPr>
          <w:rFonts w:ascii="Times New Roman" w:eastAsia="Calibri" w:hAnsi="Times New Roman"/>
          <w:bCs/>
          <w:sz w:val="20"/>
          <w:szCs w:val="20"/>
        </w:rPr>
        <w:t>2</w:t>
      </w:r>
      <w:r w:rsidRPr="00182F1E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7BB2E3F4" w14:textId="77777777" w:rsidR="00C45CCA" w:rsidRPr="00182F1E" w:rsidRDefault="00C45CCA" w:rsidP="00C45CCA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↔Statistically non-significant (dark gray shading).</w:t>
      </w:r>
    </w:p>
    <w:p w14:paraId="18E00A29" w14:textId="77777777" w:rsidR="00C45CCA" w:rsidRPr="00182F1E" w:rsidRDefault="00C45CCA" w:rsidP="00C45CCA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2F1E">
        <w:rPr>
          <w:rFonts w:ascii="Times New Roman" w:hAnsi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/>
          <w:sz w:val="20"/>
          <w:szCs w:val="20"/>
          <w:lang w:val="en-US"/>
        </w:rPr>
        <w:t>ACL, aclidinium; BID, twice daily; CI, confidence interval; CrI, credible interval; FEM, fixed-effects model; FOR, formoterol fumarate; GLY, glycopyrrolate; IND, indacaterol; NMA, network meta-analysis; OD, once daily; OLO, olodaterol; REM, random-effects model; SGRQ, St. George’s Respiratory Questionnaire; TIO, tiotropium; UMEC, umeclidinium; VIL, vilanterol.</w:t>
      </w:r>
    </w:p>
    <w:p w14:paraId="65F27B44" w14:textId="77777777" w:rsidR="00C45CCA" w:rsidRDefault="00C45CCA" w:rsidP="00C45CCA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14:paraId="7581FCF4" w14:textId="77777777" w:rsidR="005F02F4" w:rsidRPr="00182F1E" w:rsidRDefault="005F02F4" w:rsidP="005F02F4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9</w:t>
      </w: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82F1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NMA results for TDI responders at 24/26 weeks for each treatment comparison by study</w:t>
      </w:r>
      <w:r w:rsidRPr="00182F1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4,6,8</w:t>
      </w:r>
    </w:p>
    <w:tbl>
      <w:tblPr>
        <w:tblpPr w:leftFromText="180" w:rightFromText="180" w:vertAnchor="text" w:tblpX="-10" w:tblpY="1"/>
        <w:tblOverlap w:val="never"/>
        <w:tblW w:w="5007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20" w:firstRow="1" w:lastRow="0" w:firstColumn="0" w:lastColumn="0" w:noHBand="0" w:noVBand="1"/>
      </w:tblPr>
      <w:tblGrid>
        <w:gridCol w:w="2692"/>
        <w:gridCol w:w="3249"/>
        <w:gridCol w:w="2766"/>
        <w:gridCol w:w="2596"/>
        <w:gridCol w:w="2655"/>
      </w:tblGrid>
      <w:tr w:rsidR="005F02F4" w:rsidRPr="00182F1E" w14:paraId="1BB71DBA" w14:textId="77777777" w:rsidTr="00DF5068">
        <w:trPr>
          <w:trHeight w:val="20"/>
        </w:trPr>
        <w:tc>
          <w:tcPr>
            <w:tcW w:w="964" w:type="pct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6D20B8A" w14:textId="77777777" w:rsidR="005F02F4" w:rsidRPr="00182F1E" w:rsidRDefault="005F02F4" w:rsidP="00DF5068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03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15A05" w14:textId="77777777" w:rsidR="005F02F4" w:rsidRPr="00182F1E" w:rsidRDefault="005F02F4" w:rsidP="00DF5068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5F02F4" w:rsidRPr="00182F1E" w14:paraId="43C9CCF8" w14:textId="77777777" w:rsidTr="00DF5068">
        <w:trPr>
          <w:trHeight w:val="20"/>
        </w:trPr>
        <w:tc>
          <w:tcPr>
            <w:tcW w:w="964" w:type="pct"/>
            <w:shd w:val="clear" w:color="auto" w:fill="FFFFFF" w:themeFill="background1"/>
            <w:noWrap/>
            <w:vAlign w:val="center"/>
          </w:tcPr>
          <w:p w14:paraId="5AFC2CFB" w14:textId="77777777" w:rsidR="005F02F4" w:rsidRPr="00182F1E" w:rsidRDefault="005F02F4" w:rsidP="00DF5068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1164" w:type="pct"/>
            <w:shd w:val="clear" w:color="auto" w:fill="FFFFFF" w:themeFill="background1"/>
            <w:noWrap/>
          </w:tcPr>
          <w:p w14:paraId="17566CCE" w14:textId="77777777" w:rsidR="005F02F4" w:rsidRPr="00182F1E" w:rsidRDefault="005F02F4" w:rsidP="00DF5068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ACL/FOR 400/12 µg BID</w:t>
            </w:r>
          </w:p>
        </w:tc>
        <w:tc>
          <w:tcPr>
            <w:tcW w:w="991" w:type="pct"/>
            <w:shd w:val="clear" w:color="auto" w:fill="FFFFFF" w:themeFill="background1"/>
          </w:tcPr>
          <w:p w14:paraId="6998E995" w14:textId="77777777" w:rsidR="005F02F4" w:rsidRPr="00182F1E" w:rsidRDefault="005F02F4" w:rsidP="00DF5068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GLY/FOR 18/9.6 µg BID</w:t>
            </w:r>
          </w:p>
        </w:tc>
        <w:tc>
          <w:tcPr>
            <w:tcW w:w="930" w:type="pct"/>
            <w:shd w:val="clear" w:color="auto" w:fill="FFFFFF" w:themeFill="background1"/>
          </w:tcPr>
          <w:p w14:paraId="2A45F5A9" w14:textId="77777777" w:rsidR="005F02F4" w:rsidRPr="00182F1E" w:rsidRDefault="005F02F4" w:rsidP="00DF5068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GLY/IND 50/110 µg OD</w:t>
            </w:r>
          </w:p>
        </w:tc>
        <w:tc>
          <w:tcPr>
            <w:tcW w:w="951" w:type="pct"/>
            <w:shd w:val="clear" w:color="auto" w:fill="FFFFFF" w:themeFill="background1"/>
            <w:noWrap/>
          </w:tcPr>
          <w:p w14:paraId="58EE29E3" w14:textId="77777777" w:rsidR="005F02F4" w:rsidRPr="00182F1E" w:rsidRDefault="005F02F4" w:rsidP="00DF5068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TIO/OLO 5/5 µg OD</w:t>
            </w:r>
          </w:p>
        </w:tc>
      </w:tr>
      <w:tr w:rsidR="005F02F4" w:rsidRPr="00182F1E" w14:paraId="6BA63466" w14:textId="77777777" w:rsidTr="00DF5068">
        <w:trPr>
          <w:trHeight w:val="20"/>
        </w:trPr>
        <w:tc>
          <w:tcPr>
            <w:tcW w:w="964" w:type="pct"/>
          </w:tcPr>
          <w:p w14:paraId="2FC92853" w14:textId="77777777" w:rsidR="005F02F4" w:rsidRPr="00182F1E" w:rsidRDefault="005F02F4" w:rsidP="00DF5068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GLY/FOR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18/9.6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BID</w:t>
            </w:r>
          </w:p>
        </w:tc>
        <w:tc>
          <w:tcPr>
            <w:tcW w:w="1164" w:type="pct"/>
            <w:shd w:val="clear" w:color="auto" w:fill="D0CECE" w:themeFill="background2" w:themeFillShade="E6"/>
          </w:tcPr>
          <w:p w14:paraId="531CD703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14716649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Siddiqui 2019: 0.98</w:t>
            </w:r>
          </w:p>
          <w:p w14:paraId="5D6DA9FA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(0.73, 1.1)</w:t>
            </w:r>
          </w:p>
        </w:tc>
        <w:tc>
          <w:tcPr>
            <w:tcW w:w="991" w:type="pct"/>
          </w:tcPr>
          <w:p w14:paraId="531EC325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930" w:type="pct"/>
          </w:tcPr>
          <w:p w14:paraId="5E314EC9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951" w:type="pct"/>
          </w:tcPr>
          <w:p w14:paraId="24A867E3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5F02F4" w:rsidRPr="00182F1E" w14:paraId="5E6052F5" w14:textId="77777777" w:rsidTr="00DF5068">
        <w:trPr>
          <w:trHeight w:val="20"/>
        </w:trPr>
        <w:tc>
          <w:tcPr>
            <w:tcW w:w="964" w:type="pct"/>
            <w:hideMark/>
          </w:tcPr>
          <w:p w14:paraId="62350B17" w14:textId="77777777" w:rsidR="005F02F4" w:rsidRPr="00182F1E" w:rsidRDefault="005F02F4" w:rsidP="00DF5068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GLY/IND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50/110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164" w:type="pct"/>
            <w:shd w:val="clear" w:color="auto" w:fill="D0CECE" w:themeFill="background2" w:themeFillShade="E6"/>
            <w:hideMark/>
          </w:tcPr>
          <w:p w14:paraId="27F749B3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54D3116C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Aziz 2018: 1.06</w:t>
            </w:r>
          </w:p>
          <w:p w14:paraId="40503B52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(0.78, 1.45)</w:t>
            </w:r>
          </w:p>
          <w:p w14:paraId="61007F85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0.86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(0.61, 1.22)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0.85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(0.47, 1.55)</w:t>
            </w:r>
          </w:p>
          <w:p w14:paraId="6B28FD23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1.00 </w:t>
            </w:r>
          </w:p>
          <w:p w14:paraId="1E84102B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(0.82, 1.18)</w:t>
            </w:r>
          </w:p>
        </w:tc>
        <w:tc>
          <w:tcPr>
            <w:tcW w:w="991" w:type="pct"/>
            <w:shd w:val="clear" w:color="auto" w:fill="D0CECE" w:themeFill="background2" w:themeFillShade="E6"/>
          </w:tcPr>
          <w:p w14:paraId="4B6CFD30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2F3A03CA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1.02 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(0.90, 1.33)</w:t>
            </w:r>
          </w:p>
        </w:tc>
        <w:tc>
          <w:tcPr>
            <w:tcW w:w="930" w:type="pct"/>
            <w:hideMark/>
          </w:tcPr>
          <w:p w14:paraId="5FB01EB1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951" w:type="pct"/>
          </w:tcPr>
          <w:p w14:paraId="029662FE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5F02F4" w:rsidRPr="00182F1E" w14:paraId="5520E6B4" w14:textId="77777777" w:rsidTr="00DF5068">
        <w:trPr>
          <w:trHeight w:val="20"/>
        </w:trPr>
        <w:tc>
          <w:tcPr>
            <w:tcW w:w="964" w:type="pct"/>
            <w:noWrap/>
            <w:hideMark/>
          </w:tcPr>
          <w:p w14:paraId="305B730C" w14:textId="77777777" w:rsidR="005F02F4" w:rsidRPr="00182F1E" w:rsidRDefault="005F02F4" w:rsidP="00DF5068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TIO/OLO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5/5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164" w:type="pct"/>
            <w:shd w:val="clear" w:color="auto" w:fill="D0CECE" w:themeFill="background2" w:themeFillShade="E6"/>
            <w:hideMark/>
          </w:tcPr>
          <w:p w14:paraId="3F596F5F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65126B72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0.79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(0.57, 1.09)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0.81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(0.43, 1.57)</w:t>
            </w:r>
          </w:p>
        </w:tc>
        <w:tc>
          <w:tcPr>
            <w:tcW w:w="991" w:type="pct"/>
          </w:tcPr>
          <w:p w14:paraId="0EB0EFC0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930" w:type="pct"/>
            <w:shd w:val="clear" w:color="auto" w:fill="D0CECE" w:themeFill="background2" w:themeFillShade="E6"/>
            <w:hideMark/>
          </w:tcPr>
          <w:p w14:paraId="34EA4B7A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1B5E600A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0.92 (0.67, 1.24)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0.95 (0.50, 1.88)</w:t>
            </w:r>
          </w:p>
        </w:tc>
        <w:tc>
          <w:tcPr>
            <w:tcW w:w="951" w:type="pct"/>
            <w:hideMark/>
          </w:tcPr>
          <w:p w14:paraId="0E971582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5F02F4" w:rsidRPr="00182F1E" w14:paraId="40B7534C" w14:textId="77777777" w:rsidTr="00DF5068">
        <w:trPr>
          <w:trHeight w:val="20"/>
        </w:trPr>
        <w:tc>
          <w:tcPr>
            <w:tcW w:w="964" w:type="pct"/>
            <w:noWrap/>
            <w:hideMark/>
          </w:tcPr>
          <w:p w14:paraId="6A3F765B" w14:textId="77777777" w:rsidR="005F02F4" w:rsidRPr="00182F1E" w:rsidRDefault="005F02F4" w:rsidP="00DF5068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UMEC/VIL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62.5/25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164" w:type="pct"/>
            <w:shd w:val="clear" w:color="auto" w:fill="D0CECE" w:themeFill="background2" w:themeFillShade="E6"/>
            <w:hideMark/>
          </w:tcPr>
          <w:p w14:paraId="1FAC81A3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37F6185E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0.79 </w:t>
            </w:r>
          </w:p>
          <w:p w14:paraId="771192EE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(0.58, 1.09)</w:t>
            </w:r>
          </w:p>
          <w:p w14:paraId="783EAAEB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0.79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(0.58, 1.08)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0.80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(0.49, 1.34)</w:t>
            </w:r>
          </w:p>
          <w:p w14:paraId="17300052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0.99 </w:t>
            </w:r>
          </w:p>
          <w:p w14:paraId="27890283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(0.80, 1.14)</w:t>
            </w:r>
          </w:p>
        </w:tc>
        <w:tc>
          <w:tcPr>
            <w:tcW w:w="991" w:type="pct"/>
            <w:shd w:val="clear" w:color="auto" w:fill="D0CECE" w:themeFill="background2" w:themeFillShade="E6"/>
          </w:tcPr>
          <w:p w14:paraId="4E322252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745B8F9C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Siddiqui 2019: 1.01 (0.89, 1.25)</w:t>
            </w:r>
          </w:p>
        </w:tc>
        <w:tc>
          <w:tcPr>
            <w:tcW w:w="930" w:type="pct"/>
            <w:shd w:val="clear" w:color="auto" w:fill="D0CECE" w:themeFill="background2" w:themeFillShade="E6"/>
            <w:hideMark/>
          </w:tcPr>
          <w:p w14:paraId="77A13C1E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7F8C5330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Aziz 2018: 0.75 </w:t>
            </w:r>
          </w:p>
          <w:p w14:paraId="4560683A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(0.54, 1.03)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FEM: 0.92 (0.67, 1.26)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Schlueter 2016 REM: 0.94 (0.55, 1.63)</w:t>
            </w:r>
          </w:p>
          <w:p w14:paraId="1E8B426D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Siddiqui 2019: 1.00 (0.82, 1.16)</w:t>
            </w:r>
          </w:p>
        </w:tc>
        <w:tc>
          <w:tcPr>
            <w:tcW w:w="951" w:type="pct"/>
            <w:shd w:val="clear" w:color="auto" w:fill="D0CECE" w:themeFill="background2" w:themeFillShade="E6"/>
            <w:hideMark/>
          </w:tcPr>
          <w:p w14:paraId="5F8022C4" w14:textId="77777777" w:rsidR="005F02F4" w:rsidRPr="00182F1E" w:rsidRDefault="005F02F4" w:rsidP="00DF5068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51C2AADE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Schlueter 2016 FEM: 1.01 </w:t>
            </w:r>
          </w:p>
          <w:p w14:paraId="3421F58B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(0.77, 1.33)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 xml:space="preserve">Schlueter 2016 REM: 1.0 </w:t>
            </w:r>
          </w:p>
          <w:p w14:paraId="15D5A8BF" w14:textId="77777777" w:rsidR="005F02F4" w:rsidRPr="00182F1E" w:rsidRDefault="005F02F4" w:rsidP="00DF5068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(0.55, 1.75)</w:t>
            </w:r>
          </w:p>
        </w:tc>
      </w:tr>
    </w:tbl>
    <w:p w14:paraId="54034F05" w14:textId="395F8A2F" w:rsidR="005F02F4" w:rsidRPr="00182F1E" w:rsidRDefault="005F02F4" w:rsidP="005F02F4">
      <w:pPr>
        <w:spacing w:line="360" w:lineRule="auto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Results are presented as odds ratios </w:t>
      </w:r>
      <w:r w:rsidRPr="00182F1E">
        <w:rPr>
          <w:rFonts w:ascii="Times New Roman" w:eastAsia="Tahoma" w:hAnsi="Times New Roman"/>
          <w:bCs/>
          <w:sz w:val="20"/>
          <w:szCs w:val="20"/>
          <w:lang w:val="en-US"/>
        </w:rPr>
        <w:t>(Aziz et al reported 95% CI,</w:t>
      </w:r>
      <w:r w:rsidRPr="00182F1E">
        <w:rPr>
          <w:rFonts w:ascii="Times New Roman" w:eastAsia="Tahoma" w:hAnsi="Times New Roman"/>
          <w:bCs/>
          <w:sz w:val="20"/>
          <w:szCs w:val="20"/>
          <w:vertAlign w:val="superscript"/>
          <w:lang w:val="en-US"/>
        </w:rPr>
        <w:t xml:space="preserve"> </w:t>
      </w:r>
      <w:r w:rsidRPr="00182F1E">
        <w:rPr>
          <w:rFonts w:ascii="Times New Roman" w:eastAsia="Tahoma" w:hAnsi="Times New Roman"/>
          <w:bCs/>
          <w:sz w:val="20"/>
          <w:szCs w:val="20"/>
          <w:lang w:val="en-US"/>
        </w:rPr>
        <w:t xml:space="preserve">other studies reported 95% CrI). </w:t>
      </w:r>
      <w:r w:rsidRPr="00182F1E">
        <w:rPr>
          <w:rFonts w:ascii="Times New Roman" w:eastAsia="Calibri" w:hAnsi="Times New Roman"/>
          <w:sz w:val="20"/>
          <w:szCs w:val="20"/>
        </w:rPr>
        <w:t xml:space="preserve">Siddiqui 2019 reports data for GLY/FOR 18/9.6 µg </w:t>
      </w:r>
      <w:r w:rsidRPr="00182F1E">
        <w:rPr>
          <w:rFonts w:ascii="Times New Roman" w:eastAsia="Calibri" w:hAnsi="Times New Roman" w:cs="Times New Roman"/>
          <w:bCs/>
          <w:sz w:val="20"/>
          <w:szCs w:val="20"/>
        </w:rPr>
        <w:t xml:space="preserve">vs other LAMA/LABAs FDCs. For completeness, comparisons between all LAMA/LABA FDCs in the NMA described in Siddiqui 2019 are provided in Supplementary Table </w:t>
      </w:r>
      <w:r w:rsidRPr="00182F1E">
        <w:rPr>
          <w:rFonts w:ascii="Times New Roman" w:eastAsia="Calibri" w:hAnsi="Times New Roman"/>
          <w:bCs/>
          <w:sz w:val="20"/>
          <w:szCs w:val="20"/>
        </w:rPr>
        <w:t>1</w:t>
      </w:r>
      <w:r>
        <w:rPr>
          <w:rFonts w:ascii="Times New Roman" w:eastAsia="Calibri" w:hAnsi="Times New Roman"/>
          <w:bCs/>
          <w:sz w:val="20"/>
          <w:szCs w:val="20"/>
        </w:rPr>
        <w:t>3</w:t>
      </w:r>
      <w:r w:rsidRPr="00182F1E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1DFB4670" w14:textId="77777777" w:rsidR="005F02F4" w:rsidRPr="00182F1E" w:rsidRDefault="005F02F4" w:rsidP="005F02F4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↔Statistically non-significant (dark gray shading).</w:t>
      </w:r>
    </w:p>
    <w:p w14:paraId="4BCA0570" w14:textId="77777777" w:rsidR="005F02F4" w:rsidRPr="00182F1E" w:rsidRDefault="005F02F4" w:rsidP="005F02F4">
      <w:pPr>
        <w:spacing w:after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ACL, aclidinium; BID, twice daily; CI, confidence interval;</w:t>
      </w:r>
      <w:r w:rsidRPr="00182F1E">
        <w:rPr>
          <w:rFonts w:ascii="Times New Roman" w:hAnsi="Times New Roman"/>
          <w:sz w:val="20"/>
          <w:szCs w:val="20"/>
          <w:lang w:val="en-US"/>
        </w:rPr>
        <w:t xml:space="preserve"> CrI, credible interval;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FEM, fixed-effects model; FOR, formoterol fumarate; GLY, glycopyrrolate; IND, indacaterol; NMA, network meta-analysis; OD, once daily; OLO, olodaterol; REM, random-effects model; TDI, Transition Dyspnea Index; TIO, tiotropium; UMEC, umeclidinium; VIL, vilanterol.</w:t>
      </w:r>
    </w:p>
    <w:p w14:paraId="203F6FDB" w14:textId="77777777" w:rsidR="005F02F4" w:rsidRDefault="005F02F4" w:rsidP="005F02F4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14:paraId="226FDEA2" w14:textId="4B482757" w:rsidR="00C45CCA" w:rsidRPr="00182F1E" w:rsidRDefault="00C45CCA" w:rsidP="00C45CCA">
      <w:pPr>
        <w:spacing w:after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en-US"/>
        </w:rPr>
        <w:t xml:space="preserve">Supplementary Table </w:t>
      </w:r>
      <w:r w:rsidR="005F02F4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en-US"/>
        </w:rPr>
        <w:t>10</w:t>
      </w:r>
      <w:r w:rsidRPr="00182F1E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182F1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NMA results for SGRQ responders at 24/26 weeks </w:t>
      </w:r>
      <w:r w:rsidRPr="00182F1E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/>
        </w:rPr>
        <w:t>for each treatment comparison by study</w:t>
      </w:r>
      <w:r w:rsidRPr="00182F1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4,6,8</w:t>
      </w:r>
    </w:p>
    <w:tbl>
      <w:tblPr>
        <w:tblpPr w:leftFromText="180" w:rightFromText="180" w:vertAnchor="text" w:tblpX="-10" w:tblpY="1"/>
        <w:tblOverlap w:val="never"/>
        <w:tblW w:w="5143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20" w:firstRow="1" w:lastRow="0" w:firstColumn="0" w:lastColumn="0" w:noHBand="0" w:noVBand="1"/>
      </w:tblPr>
      <w:tblGrid>
        <w:gridCol w:w="2431"/>
        <w:gridCol w:w="3708"/>
        <w:gridCol w:w="2443"/>
        <w:gridCol w:w="2632"/>
        <w:gridCol w:w="3123"/>
      </w:tblGrid>
      <w:tr w:rsidR="00C45CCA" w:rsidRPr="00182F1E" w14:paraId="1D7087B0" w14:textId="77777777" w:rsidTr="00C45CCA">
        <w:trPr>
          <w:trHeight w:val="300"/>
        </w:trPr>
        <w:tc>
          <w:tcPr>
            <w:tcW w:w="848" w:type="pct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8BCBB27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52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499E4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C45CCA" w:rsidRPr="00182F1E" w14:paraId="5E4CA2E5" w14:textId="77777777" w:rsidTr="00C45CCA">
        <w:trPr>
          <w:trHeight w:val="300"/>
        </w:trPr>
        <w:tc>
          <w:tcPr>
            <w:tcW w:w="848" w:type="pct"/>
            <w:noWrap/>
            <w:vAlign w:val="center"/>
          </w:tcPr>
          <w:p w14:paraId="011225D6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1293" w:type="pct"/>
            <w:noWrap/>
          </w:tcPr>
          <w:p w14:paraId="30422D61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ACL/FOR 400/12 µg BID</w:t>
            </w:r>
          </w:p>
        </w:tc>
        <w:tc>
          <w:tcPr>
            <w:tcW w:w="852" w:type="pct"/>
          </w:tcPr>
          <w:p w14:paraId="75D3A346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GLY/FOR 18/9.6 µg BID</w:t>
            </w:r>
          </w:p>
        </w:tc>
        <w:tc>
          <w:tcPr>
            <w:tcW w:w="918" w:type="pct"/>
          </w:tcPr>
          <w:p w14:paraId="532BB33F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GLY/IND 50/110 µg OD</w:t>
            </w:r>
          </w:p>
        </w:tc>
        <w:tc>
          <w:tcPr>
            <w:tcW w:w="1089" w:type="pct"/>
            <w:noWrap/>
          </w:tcPr>
          <w:p w14:paraId="4E884F07" w14:textId="77777777" w:rsidR="00C45CCA" w:rsidRPr="00182F1E" w:rsidRDefault="00C45CCA" w:rsidP="00C45CCA">
            <w:pPr>
              <w:pStyle w:val="TableHeading-H5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TIO/OLO 5/5 µg OD</w:t>
            </w:r>
          </w:p>
        </w:tc>
      </w:tr>
      <w:tr w:rsidR="00C45CCA" w:rsidRPr="00182F1E" w14:paraId="5CA119F5" w14:textId="77777777" w:rsidTr="00C45CCA">
        <w:trPr>
          <w:trHeight w:val="300"/>
        </w:trPr>
        <w:tc>
          <w:tcPr>
            <w:tcW w:w="848" w:type="pct"/>
          </w:tcPr>
          <w:p w14:paraId="3D1225D9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GLY/FOR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18/9.6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BID</w:t>
            </w:r>
          </w:p>
        </w:tc>
        <w:tc>
          <w:tcPr>
            <w:tcW w:w="1293" w:type="pct"/>
            <w:shd w:val="clear" w:color="auto" w:fill="D0CECE" w:themeFill="background2" w:themeFillShade="E6"/>
          </w:tcPr>
          <w:p w14:paraId="7C42DCEE" w14:textId="77777777" w:rsidR="00C45CCA" w:rsidRPr="00182F1E" w:rsidRDefault="00C45CCA" w:rsidP="00C45CCA">
            <w:pPr>
              <w:shd w:val="clear" w:color="auto" w:fill="D0CECE" w:themeFill="background2" w:themeFillShade="E6"/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2C229444" w14:textId="77777777" w:rsidR="00C45CCA" w:rsidRPr="00182F1E" w:rsidRDefault="00C45CCA" w:rsidP="00C45CCA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Siddiqui 2019: 0.99 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(0.82, 1.15)</w:t>
            </w:r>
          </w:p>
        </w:tc>
        <w:tc>
          <w:tcPr>
            <w:tcW w:w="852" w:type="pct"/>
          </w:tcPr>
          <w:p w14:paraId="459ECDA5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918" w:type="pct"/>
          </w:tcPr>
          <w:p w14:paraId="7843FDB7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89" w:type="pct"/>
          </w:tcPr>
          <w:p w14:paraId="63696052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–</w:t>
            </w:r>
          </w:p>
        </w:tc>
      </w:tr>
      <w:tr w:rsidR="00C45CCA" w:rsidRPr="00182F1E" w14:paraId="15958CBE" w14:textId="77777777" w:rsidTr="00C45CCA">
        <w:trPr>
          <w:trHeight w:val="300"/>
        </w:trPr>
        <w:tc>
          <w:tcPr>
            <w:tcW w:w="848" w:type="pct"/>
            <w:hideMark/>
          </w:tcPr>
          <w:p w14:paraId="2B6DA29F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GLY/IND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50/110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293" w:type="pct"/>
            <w:shd w:val="clear" w:color="auto" w:fill="D0CECE" w:themeFill="background2" w:themeFillShade="E6"/>
            <w:hideMark/>
          </w:tcPr>
          <w:p w14:paraId="280486B4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50B0722B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Aziz 2018: 0.98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(0.70, 1.35)</w:t>
            </w:r>
          </w:p>
          <w:p w14:paraId="1C18C01A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Schlueter 2016 FEM: 1.08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(0.80, 1.47)</w:t>
            </w:r>
          </w:p>
          <w:p w14:paraId="7C8E6F2C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Schlueter 2016 REM: 1.08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(0.62, 1.89)</w:t>
            </w:r>
          </w:p>
          <w:p w14:paraId="7F4BE0FE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Siddiqui 2019: 1.00 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(0.85, 1.21)</w:t>
            </w:r>
          </w:p>
        </w:tc>
        <w:tc>
          <w:tcPr>
            <w:tcW w:w="852" w:type="pct"/>
            <w:shd w:val="clear" w:color="auto" w:fill="D0CECE" w:themeFill="background2" w:themeFillShade="E6"/>
          </w:tcPr>
          <w:p w14:paraId="1D0373C6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287D4461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1.01 </w:t>
            </w:r>
            <w:r w:rsidRPr="00182F1E">
              <w:rPr>
                <w:rFonts w:ascii="Times New Roman" w:hAnsi="Times New Roman"/>
                <w:sz w:val="20"/>
                <w:lang w:val="en-US"/>
              </w:rPr>
              <w:br/>
              <w:t>(0.88, 1.25)</w:t>
            </w:r>
          </w:p>
        </w:tc>
        <w:tc>
          <w:tcPr>
            <w:tcW w:w="918" w:type="pct"/>
            <w:hideMark/>
          </w:tcPr>
          <w:p w14:paraId="68B501B8" w14:textId="77777777" w:rsidR="00C45CCA" w:rsidRPr="00182F1E" w:rsidRDefault="00C45CCA" w:rsidP="00C45CCA">
            <w:pPr>
              <w:pStyle w:val="TableBodyText-H54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89" w:type="pct"/>
          </w:tcPr>
          <w:p w14:paraId="030FF0CD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–</w:t>
            </w:r>
          </w:p>
        </w:tc>
      </w:tr>
      <w:tr w:rsidR="00C45CCA" w:rsidRPr="00182F1E" w14:paraId="26498D7C" w14:textId="77777777" w:rsidTr="00C45CCA">
        <w:trPr>
          <w:trHeight w:val="300"/>
        </w:trPr>
        <w:tc>
          <w:tcPr>
            <w:tcW w:w="848" w:type="pct"/>
            <w:noWrap/>
            <w:hideMark/>
          </w:tcPr>
          <w:p w14:paraId="25450535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TIO/OLO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5/5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293" w:type="pct"/>
            <w:shd w:val="clear" w:color="auto" w:fill="D0CECE" w:themeFill="background2" w:themeFillShade="E6"/>
            <w:hideMark/>
          </w:tcPr>
          <w:p w14:paraId="63E584DD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7726FE7B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Aziz 2018: 1.09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(0.68, 1.73)</w:t>
            </w:r>
          </w:p>
          <w:p w14:paraId="2DFD999D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Schlueter 2016 FEM: 1.22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(0.88, 1.70)</w:t>
            </w:r>
          </w:p>
          <w:p w14:paraId="74FAE949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Schlueter 2016 REM: 1.25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(0.63, 2.51)</w:t>
            </w:r>
          </w:p>
          <w:p w14:paraId="58D479C6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Siddiqui 2019: 1.03 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(0.90, 1.33)</w:t>
            </w:r>
          </w:p>
        </w:tc>
        <w:tc>
          <w:tcPr>
            <w:tcW w:w="852" w:type="pct"/>
            <w:shd w:val="clear" w:color="auto" w:fill="D0CECE" w:themeFill="background2" w:themeFillShade="E6"/>
          </w:tcPr>
          <w:p w14:paraId="6A507C44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2CBC26A7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Siddiqui 2019: 1.04 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(0.93, 1.39)</w:t>
            </w:r>
          </w:p>
        </w:tc>
        <w:tc>
          <w:tcPr>
            <w:tcW w:w="918" w:type="pct"/>
            <w:shd w:val="clear" w:color="auto" w:fill="D0CECE" w:themeFill="background2" w:themeFillShade="E6"/>
            <w:hideMark/>
          </w:tcPr>
          <w:p w14:paraId="4923A85D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77FECD80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Aziz 2018: 1.11 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(0.73, 1.68)</w:t>
            </w:r>
          </w:p>
          <w:p w14:paraId="051E9FEA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Schlueter 2016 FEM: 1.13 (0.89, 1.44)</w:t>
            </w:r>
          </w:p>
          <w:p w14:paraId="02E98397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Schlueter 2016 REM: 1.16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(0.64, 2.15)</w:t>
            </w:r>
          </w:p>
          <w:p w14:paraId="5369F871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Siddiqui 2019: 1.02 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(0.89, 1.31)</w:t>
            </w:r>
          </w:p>
        </w:tc>
        <w:tc>
          <w:tcPr>
            <w:tcW w:w="1089" w:type="pct"/>
            <w:hideMark/>
          </w:tcPr>
          <w:p w14:paraId="236CF6EC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–</w:t>
            </w:r>
          </w:p>
        </w:tc>
      </w:tr>
      <w:tr w:rsidR="00C45CCA" w:rsidRPr="00182F1E" w14:paraId="45A66E17" w14:textId="77777777" w:rsidTr="00C45CCA">
        <w:trPr>
          <w:trHeight w:val="300"/>
        </w:trPr>
        <w:tc>
          <w:tcPr>
            <w:tcW w:w="848" w:type="pct"/>
            <w:noWrap/>
            <w:hideMark/>
          </w:tcPr>
          <w:p w14:paraId="6EC5880A" w14:textId="77777777" w:rsidR="00C45CCA" w:rsidRPr="00182F1E" w:rsidRDefault="00C45CCA" w:rsidP="00C45CCA">
            <w:pPr>
              <w:pStyle w:val="TableHeading-H56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UMEC/VIL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62.5/25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293" w:type="pct"/>
            <w:shd w:val="clear" w:color="auto" w:fill="D0CECE" w:themeFill="background2" w:themeFillShade="E6"/>
            <w:hideMark/>
          </w:tcPr>
          <w:p w14:paraId="2B00D81A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5A6F29A5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Aziz 2018: 0.88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(0.62, 1.25)</w:t>
            </w:r>
          </w:p>
          <w:p w14:paraId="759D94BA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Schlueter 2016 FEM: 1.07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(0.80, 1.45)</w:t>
            </w:r>
          </w:p>
          <w:p w14:paraId="395F9217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Schlueter 2016 REM: 1.07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(0.64, 1.78)</w:t>
            </w:r>
          </w:p>
          <w:p w14:paraId="22745333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Siddiqui 2019: 1.00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(0.84, 1.17)</w:t>
            </w:r>
          </w:p>
        </w:tc>
        <w:tc>
          <w:tcPr>
            <w:tcW w:w="852" w:type="pct"/>
            <w:shd w:val="clear" w:color="auto" w:fill="D0CECE" w:themeFill="background2" w:themeFillShade="E6"/>
          </w:tcPr>
          <w:p w14:paraId="63A89302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551C9881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Siddiqui 2019: 1.00 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(0.88, 1.20)</w:t>
            </w:r>
          </w:p>
        </w:tc>
        <w:tc>
          <w:tcPr>
            <w:tcW w:w="918" w:type="pct"/>
            <w:shd w:val="clear" w:color="auto" w:fill="D0CECE" w:themeFill="background2" w:themeFillShade="E6"/>
            <w:hideMark/>
          </w:tcPr>
          <w:p w14:paraId="45137277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161B24C3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Aziz 2018: 0.90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(0.70, 1.17)</w:t>
            </w:r>
          </w:p>
          <w:p w14:paraId="2A5E050A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Schlueter 2016 FEM: 0.99 (0.80, 1.24)</w:t>
            </w:r>
          </w:p>
          <w:p w14:paraId="73F40CF2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Schlueter 2016 REM: 0.99 (0.64, 1.53)</w:t>
            </w:r>
          </w:p>
          <w:p w14:paraId="74A1A895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Siddiqui 2019: 0.99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(0.83, 1.16)</w:t>
            </w:r>
          </w:p>
        </w:tc>
        <w:tc>
          <w:tcPr>
            <w:tcW w:w="1089" w:type="pct"/>
            <w:shd w:val="clear" w:color="auto" w:fill="D0CECE" w:themeFill="background2" w:themeFillShade="E6"/>
            <w:hideMark/>
          </w:tcPr>
          <w:p w14:paraId="78CD41F4" w14:textId="77777777" w:rsidR="00C45CCA" w:rsidRPr="00182F1E" w:rsidRDefault="00C45CCA" w:rsidP="00C45CCA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Cs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lang w:val="en-US"/>
              </w:rPr>
              <w:t>↔</w:t>
            </w:r>
          </w:p>
          <w:p w14:paraId="75682825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Aziz 2018: 0.81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(0.54, 1.23)</w:t>
            </w:r>
          </w:p>
          <w:p w14:paraId="37D9130C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Schlueter 2016 FEM: 0.88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(0.69, 1.12)</w:t>
            </w:r>
          </w:p>
          <w:p w14:paraId="1DBC73BA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Schlueter 2016 REM: 0.86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(0.48, 1.50)</w:t>
            </w:r>
          </w:p>
          <w:p w14:paraId="61B05B2B" w14:textId="77777777" w:rsidR="00C45CCA" w:rsidRPr="00182F1E" w:rsidRDefault="00C45CCA" w:rsidP="00C45CC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Siddiqui 2019: 0.97</w:t>
            </w:r>
            <w:r w:rsidRPr="00182F1E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br/>
              <w:t>(0.75, 1.09)</w:t>
            </w:r>
          </w:p>
        </w:tc>
      </w:tr>
    </w:tbl>
    <w:p w14:paraId="1CDA50A8" w14:textId="13ABADB7" w:rsidR="00C45CCA" w:rsidRPr="00182F1E" w:rsidRDefault="00C45CCA" w:rsidP="00C45CC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</w:pP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Results are presented as mean difference </w:t>
      </w:r>
      <w:r w:rsidRPr="00182F1E">
        <w:rPr>
          <w:rFonts w:ascii="Times New Roman" w:eastAsia="Tahoma" w:hAnsi="Times New Roman"/>
          <w:bCs/>
          <w:sz w:val="20"/>
          <w:szCs w:val="20"/>
          <w:lang w:val="en-US"/>
        </w:rPr>
        <w:t xml:space="preserve">(Aziz et al reported 95% CI, other studies reported 95% CrI). </w:t>
      </w: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A negative treatment difference favors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treatment A</w:t>
      </w: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. </w:t>
      </w:r>
      <w:r w:rsidRPr="00182F1E">
        <w:rPr>
          <w:rFonts w:ascii="Times New Roman" w:eastAsia="Calibri" w:hAnsi="Times New Roman"/>
          <w:sz w:val="20"/>
          <w:szCs w:val="20"/>
        </w:rPr>
        <w:t xml:space="preserve">Siddiqui 2019 reports data for GLY/FOR 18/9.6 µg </w:t>
      </w:r>
      <w:r w:rsidRPr="00182F1E">
        <w:rPr>
          <w:rFonts w:ascii="Times New Roman" w:eastAsia="Calibri" w:hAnsi="Times New Roman" w:cs="Times New Roman"/>
          <w:bCs/>
          <w:sz w:val="20"/>
          <w:szCs w:val="20"/>
        </w:rPr>
        <w:t xml:space="preserve">vs other LAMA/LABAs FDCs. For completeness, comparisons between all LAMA/LABA FDCs in the NMA described in Siddiqui 2019 are provided in Supplementary Table </w:t>
      </w:r>
      <w:r w:rsidRPr="00182F1E">
        <w:rPr>
          <w:rFonts w:ascii="Times New Roman" w:eastAsia="Calibri" w:hAnsi="Times New Roman"/>
          <w:bCs/>
          <w:sz w:val="20"/>
          <w:szCs w:val="20"/>
        </w:rPr>
        <w:t>1</w:t>
      </w:r>
      <w:r w:rsidR="00B224CC">
        <w:rPr>
          <w:rFonts w:ascii="Times New Roman" w:eastAsia="Calibri" w:hAnsi="Times New Roman"/>
          <w:bCs/>
          <w:sz w:val="20"/>
          <w:szCs w:val="20"/>
        </w:rPr>
        <w:t>4</w:t>
      </w:r>
      <w:r w:rsidRPr="00182F1E">
        <w:rPr>
          <w:rFonts w:ascii="Times New Roman" w:eastAsia="Calibri" w:hAnsi="Times New Roman"/>
          <w:bCs/>
          <w:sz w:val="20"/>
          <w:szCs w:val="20"/>
        </w:rPr>
        <w:t>.</w:t>
      </w:r>
    </w:p>
    <w:p w14:paraId="7E5510DF" w14:textId="77777777" w:rsidR="00C45CCA" w:rsidRPr="00182F1E" w:rsidRDefault="00C45CCA" w:rsidP="00C45CCA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2F1E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↔Statistically non-significant (dark gray shading).</w:t>
      </w:r>
    </w:p>
    <w:p w14:paraId="20754508" w14:textId="77777777" w:rsidR="00C45CCA" w:rsidRPr="00182F1E" w:rsidRDefault="00C45CCA" w:rsidP="00C45CCA">
      <w:pPr>
        <w:spacing w:after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ACL, aclidinium; BID, twice daily; CI, confidence interval;</w:t>
      </w:r>
      <w:r w:rsidRPr="00182F1E">
        <w:rPr>
          <w:rFonts w:ascii="Times New Roman" w:hAnsi="Times New Roman"/>
          <w:sz w:val="20"/>
          <w:szCs w:val="20"/>
          <w:lang w:val="en-US"/>
        </w:rPr>
        <w:t xml:space="preserve"> CrI, credible interval;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FEM, fixed-effects model; FOR, formoterol fumarate; GLY, glycopyrrolate; IND, indacaterol; NMA, network meta-analysis; OD, once daily; OLO, olodaterol; REM, random-effects model; SGRQ, St George’s Respiratory Questionnaire; TIO, tiotropium; UMEC, umeclidinium; VIL, vilanterol.</w:t>
      </w:r>
    </w:p>
    <w:p w14:paraId="4DE60DDC" w14:textId="77777777" w:rsidR="00C45CCA" w:rsidRDefault="00C45CCA" w:rsidP="00C45CCA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14:paraId="67E68183" w14:textId="79692113" w:rsidR="00C45CCA" w:rsidRPr="00182F1E" w:rsidRDefault="005F02F4" w:rsidP="00C45CCA">
      <w:pPr>
        <w:tabs>
          <w:tab w:val="left" w:pos="4440"/>
        </w:tabs>
        <w:rPr>
          <w:rFonts w:ascii="Times New Roman" w:hAnsi="Times New Roman" w:cs="Times New Roman"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t>Supplementary Table 11</w:t>
      </w:r>
      <w:r w:rsidR="00C45CCA"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="00C45CCA" w:rsidRPr="00182F1E">
        <w:rPr>
          <w:rFonts w:ascii="Times New Roman" w:hAnsi="Times New Roman" w:cs="Times New Roman"/>
          <w:sz w:val="24"/>
          <w:szCs w:val="20"/>
          <w:lang w:val="en-US"/>
        </w:rPr>
        <w:t>Mean differences in</w:t>
      </w:r>
      <w:r w:rsidR="00C45CCA"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="00C45CCA" w:rsidRPr="00182F1E">
        <w:rPr>
          <w:rFonts w:ascii="Times New Roman" w:eastAsia="Calibri" w:hAnsi="Times New Roman" w:cs="Times New Roman"/>
          <w:bCs/>
          <w:sz w:val="24"/>
          <w:szCs w:val="20"/>
          <w:lang w:val="en-US"/>
        </w:rPr>
        <w:t>TDI focal score at 24 weeks (REM)</w:t>
      </w:r>
      <w:r w:rsidR="00C45CCA" w:rsidRPr="00182F1E">
        <w:rPr>
          <w:rFonts w:ascii="Times New Roman" w:hAnsi="Times New Roman" w:cs="Times New Roman"/>
          <w:sz w:val="24"/>
          <w:szCs w:val="20"/>
          <w:lang w:val="en-US"/>
        </w:rPr>
        <w:t xml:space="preserve"> in the Siddiqui et al NMA</w:t>
      </w:r>
      <w:r w:rsidR="00C45CCA" w:rsidRPr="00182F1E">
        <w:rPr>
          <w:rFonts w:ascii="Times New Roman" w:hAnsi="Times New Roman" w:cs="Times New Roman"/>
          <w:noProof/>
          <w:sz w:val="24"/>
          <w:szCs w:val="20"/>
          <w:vertAlign w:val="superscript"/>
          <w:lang w:val="en-US"/>
        </w:rPr>
        <w:t>8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994"/>
        <w:gridCol w:w="1994"/>
        <w:gridCol w:w="1991"/>
        <w:gridCol w:w="1991"/>
        <w:gridCol w:w="1989"/>
        <w:gridCol w:w="1991"/>
      </w:tblGrid>
      <w:tr w:rsidR="00C45CCA" w:rsidRPr="00182F1E" w14:paraId="778F1E8F" w14:textId="77777777" w:rsidTr="00C45CCA">
        <w:trPr>
          <w:trHeight w:val="283"/>
        </w:trPr>
        <w:tc>
          <w:tcPr>
            <w:tcW w:w="715" w:type="pct"/>
            <w:shd w:val="clear" w:color="auto" w:fill="auto"/>
            <w:noWrap/>
            <w:vAlign w:val="center"/>
          </w:tcPr>
          <w:p w14:paraId="11037940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715" w:type="pct"/>
          </w:tcPr>
          <w:p w14:paraId="4D4F4CF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570" w:type="pct"/>
            <w:gridSpan w:val="5"/>
            <w:shd w:val="clear" w:color="auto" w:fill="auto"/>
            <w:noWrap/>
            <w:vAlign w:val="center"/>
          </w:tcPr>
          <w:p w14:paraId="76495D5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C45CCA" w:rsidRPr="00182F1E" w14:paraId="2D9522BC" w14:textId="77777777" w:rsidTr="00C45CCA">
        <w:trPr>
          <w:trHeight w:val="81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48943E46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7A25D3A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836824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ACL 400 μg BID + FOR 12 μg BID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E31473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 + FOR 9.6 μg BID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3851BB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 + IND 110 μg OD</w:t>
            </w:r>
          </w:p>
        </w:tc>
        <w:tc>
          <w:tcPr>
            <w:tcW w:w="713" w:type="pct"/>
            <w:vAlign w:val="center"/>
          </w:tcPr>
          <w:p w14:paraId="6485DBBA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TIO 2.5 μg x 2 OD + OLO 2.5 μg x 2 OD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E4B660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 + VIL 25 μg OD</w:t>
            </w:r>
          </w:p>
        </w:tc>
      </w:tr>
      <w:tr w:rsidR="00C45CCA" w:rsidRPr="00182F1E" w14:paraId="775634A7" w14:textId="77777777" w:rsidTr="00C45CCA">
        <w:trPr>
          <w:trHeight w:val="81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4D624F3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4F854D9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47FF641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BAEA67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34BEE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3" w:type="pct"/>
            <w:vAlign w:val="center"/>
          </w:tcPr>
          <w:p w14:paraId="108B988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6838C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77141B5E" w14:textId="77777777" w:rsidTr="00C45CCA">
        <w:trPr>
          <w:trHeight w:val="817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412EE421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ACL 400 μg BID </w:t>
            </w:r>
          </w:p>
          <w:p w14:paraId="3EF28A66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12 μg BID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79B43EA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1.17</w:t>
            </w:r>
          </w:p>
          <w:p w14:paraId="12D5419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(0.81, 1.59)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A4260D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95B1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946E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3" w:type="pct"/>
            <w:vAlign w:val="center"/>
          </w:tcPr>
          <w:p w14:paraId="6EA2880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4A3D0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21FD72F8" w14:textId="77777777" w:rsidTr="00C45CCA">
        <w:trPr>
          <w:trHeight w:val="81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596ADFA8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</w:t>
            </w:r>
          </w:p>
          <w:p w14:paraId="74130945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+ FOR 9.6 μg BID 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95782B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0.93</w:t>
            </w:r>
          </w:p>
          <w:p w14:paraId="4D3EA0F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(0.48, 1.35)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76B2E31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–0.19</w:t>
            </w:r>
          </w:p>
          <w:p w14:paraId="47BE2F9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(–0.88, 0.13)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63465A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2DBC6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3" w:type="pct"/>
            <w:vAlign w:val="center"/>
          </w:tcPr>
          <w:p w14:paraId="0CA1560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46DC3C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779152C1" w14:textId="77777777" w:rsidTr="00C45CCA">
        <w:trPr>
          <w:trHeight w:val="817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330671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GLY 50 μg OD </w:t>
            </w:r>
          </w:p>
          <w:p w14:paraId="42EF375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IND 110 μg OD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6E2A778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1.16</w:t>
            </w:r>
          </w:p>
          <w:p w14:paraId="6E386EA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(0.80, 1.57)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05FACDC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0.00</w:t>
            </w:r>
          </w:p>
          <w:p w14:paraId="01B4E03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(–0.44 ,0.38)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309D20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0.19</w:t>
            </w:r>
          </w:p>
          <w:p w14:paraId="7ACA432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(–0.12, 0.81)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C7F61B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3" w:type="pct"/>
            <w:vAlign w:val="center"/>
          </w:tcPr>
          <w:p w14:paraId="7DD4CA5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763B7D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1ABD23B0" w14:textId="77777777" w:rsidTr="00C45CCA">
        <w:trPr>
          <w:trHeight w:val="81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D209C2B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TIO 2.5 μg x 2 OD </w:t>
            </w:r>
          </w:p>
          <w:p w14:paraId="0713E063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OLO 2.5 μg x 2 OD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2093E36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1.10</w:t>
            </w:r>
          </w:p>
          <w:p w14:paraId="6486903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(0.67, 1.57)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956C27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–0.03</w:t>
            </w:r>
          </w:p>
          <w:p w14:paraId="306EB26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(–0.59, 0.35)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1BE361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0.13</w:t>
            </w:r>
          </w:p>
          <w:p w14:paraId="192CE33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(–0.20, 0.76)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A14D7C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–0.03</w:t>
            </w:r>
          </w:p>
          <w:p w14:paraId="3CA67BE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(–0.50, 0.33)</w:t>
            </w:r>
          </w:p>
        </w:tc>
        <w:tc>
          <w:tcPr>
            <w:tcW w:w="713" w:type="pct"/>
            <w:vAlign w:val="center"/>
          </w:tcPr>
          <w:p w14:paraId="59EC36D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601B65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1A1FDA08" w14:textId="77777777" w:rsidTr="00C45CCA">
        <w:trPr>
          <w:trHeight w:val="817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650EE8FB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UMEC 62.5 μg OD </w:t>
            </w:r>
          </w:p>
          <w:p w14:paraId="080CE16B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VIL 25 μg OD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71307F7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1.08</w:t>
            </w:r>
          </w:p>
          <w:p w14:paraId="6C97D26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(0.74, 1.41)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76F73C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–0.06</w:t>
            </w:r>
          </w:p>
          <w:p w14:paraId="29B9D30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(–0.57, 0.24)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8E20B7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0.12</w:t>
            </w:r>
          </w:p>
          <w:p w14:paraId="72DF809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(–0.16, 0.53)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3560EC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–0.06</w:t>
            </w:r>
          </w:p>
          <w:p w14:paraId="1782D3C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(–0.51, 0.22)</w:t>
            </w:r>
          </w:p>
        </w:tc>
        <w:tc>
          <w:tcPr>
            <w:tcW w:w="713" w:type="pct"/>
            <w:vAlign w:val="center"/>
          </w:tcPr>
          <w:p w14:paraId="11030BB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–0.01</w:t>
            </w:r>
          </w:p>
          <w:p w14:paraId="3CE5AC4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(–0.46, 0.34)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20EBAC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</w:tbl>
    <w:p w14:paraId="52FC1CCD" w14:textId="77777777" w:rsidR="00C45CCA" w:rsidRPr="00182F1E" w:rsidRDefault="00C45CCA" w:rsidP="00C45CCA">
      <w:pP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Results are presented as mean difference (95% CrI). A positive treatment difference favors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treatment A</w:t>
      </w: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2CE9D1A5" w14:textId="77777777" w:rsidR="00C45CCA" w:rsidRPr="00182F1E" w:rsidRDefault="00C45CCA" w:rsidP="00C45CCA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hAnsi="Times New Roman"/>
          <w:sz w:val="20"/>
          <w:szCs w:val="20"/>
          <w:lang w:val="en-US"/>
        </w:rPr>
      </w:pPr>
      <w:r w:rsidRPr="00182F1E">
        <w:rPr>
          <w:rFonts w:ascii="Times New Roman" w:hAnsi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/>
          <w:sz w:val="20"/>
          <w:szCs w:val="20"/>
          <w:lang w:val="en-US"/>
        </w:rPr>
        <w:t>BID, twice daily; CrI, credible interval; GLY, glycopyrrolate; FOR, formoterol fumarate; IND, indacaterol; OD, once daily; OLO, olodaterol; REM, random-effects model; TDI, Transition Dyspnea Index; TIO, tiotropium; UMEC, umeclidinium; VIL, vilanterol.</w:t>
      </w:r>
    </w:p>
    <w:p w14:paraId="211C735F" w14:textId="77777777" w:rsidR="00C45CCA" w:rsidRDefault="00C45CCA" w:rsidP="00C45CCA">
      <w:pPr>
        <w:rPr>
          <w:rFonts w:ascii="Times New Roman" w:hAnsi="Times New Roman" w:cs="Times New Roman"/>
          <w:b/>
          <w:sz w:val="24"/>
          <w:szCs w:val="20"/>
          <w:lang w:val="en-US"/>
        </w:rPr>
      </w:pPr>
    </w:p>
    <w:p w14:paraId="5B82C17A" w14:textId="77777777" w:rsidR="00C45CCA" w:rsidRDefault="00C45CCA" w:rsidP="00C45CCA">
      <w:pPr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br w:type="page"/>
      </w:r>
    </w:p>
    <w:p w14:paraId="4245477A" w14:textId="34C35AB5" w:rsidR="00C45CCA" w:rsidRPr="00182F1E" w:rsidRDefault="00C45CCA" w:rsidP="00C45CCA">
      <w:pPr>
        <w:rPr>
          <w:rFonts w:ascii="Times New Roman" w:hAnsi="Times New Roman" w:cs="Times New Roman"/>
          <w:sz w:val="24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>Supplementary Table 1</w:t>
      </w:r>
      <w:r w:rsidR="005F02F4">
        <w:rPr>
          <w:rFonts w:ascii="Times New Roman" w:hAnsi="Times New Roman" w:cs="Times New Roman"/>
          <w:b/>
          <w:sz w:val="24"/>
          <w:szCs w:val="20"/>
          <w:lang w:val="en-US"/>
        </w:rPr>
        <w:t>2</w:t>
      </w: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>Mean differences in the change from baseline in SGRQ total score at 24 weeks (REM) in the Siddiqui et al NMA</w:t>
      </w:r>
      <w:r w:rsidRPr="00182F1E">
        <w:rPr>
          <w:rFonts w:ascii="Times New Roman" w:hAnsi="Times New Roman" w:cs="Times New Roman"/>
          <w:noProof/>
          <w:sz w:val="24"/>
          <w:szCs w:val="20"/>
          <w:vertAlign w:val="superscript"/>
          <w:lang w:val="en-US"/>
        </w:rPr>
        <w:t>8</w:t>
      </w: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00"/>
        <w:gridCol w:w="2330"/>
        <w:gridCol w:w="2325"/>
        <w:gridCol w:w="2325"/>
        <w:gridCol w:w="2314"/>
      </w:tblGrid>
      <w:tr w:rsidR="00C45CCA" w:rsidRPr="00182F1E" w14:paraId="23C145E9" w14:textId="77777777" w:rsidTr="00C45CCA">
        <w:trPr>
          <w:trHeight w:val="283"/>
        </w:trPr>
        <w:tc>
          <w:tcPr>
            <w:tcW w:w="795" w:type="pct"/>
            <w:shd w:val="clear" w:color="auto" w:fill="auto"/>
            <w:noWrap/>
            <w:vAlign w:val="center"/>
          </w:tcPr>
          <w:p w14:paraId="76D3EB35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4205" w:type="pct"/>
            <w:gridSpan w:val="5"/>
            <w:shd w:val="clear" w:color="auto" w:fill="auto"/>
            <w:noWrap/>
            <w:vAlign w:val="center"/>
          </w:tcPr>
          <w:p w14:paraId="3AF352E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C45CCA" w:rsidRPr="00182F1E" w14:paraId="1499B556" w14:textId="77777777" w:rsidTr="00C45CCA">
        <w:trPr>
          <w:trHeight w:val="641"/>
        </w:trPr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48A3C021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4D0E8C9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4233D465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ACL 400 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μg</w:t>
            </w:r>
            <w:r w:rsidRPr="00182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BID +</w:t>
            </w:r>
            <w:r w:rsidRPr="00182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 xml:space="preserve">FOR 12 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μg</w:t>
            </w:r>
            <w:r w:rsidRPr="00182F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BID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5967FD3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FOR 9.6 μg BID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056AB8C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IND 110 μg OD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A3F2C7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 + VIL 25 μg OD</w:t>
            </w:r>
          </w:p>
        </w:tc>
      </w:tr>
      <w:tr w:rsidR="00C45CCA" w:rsidRPr="00182F1E" w14:paraId="10059E8E" w14:textId="77777777" w:rsidTr="00C45CCA">
        <w:trPr>
          <w:trHeight w:val="641"/>
        </w:trPr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7CE717E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5E4D30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66808EBB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6CF0780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60393AB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E8E9C0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6EDDA805" w14:textId="77777777" w:rsidTr="00C45CCA">
        <w:trPr>
          <w:trHeight w:val="641"/>
        </w:trPr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42A05C6B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ACL 400 μg BID</w:t>
            </w:r>
          </w:p>
          <w:p w14:paraId="1D063C81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12 μg BID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134BED3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–2.68</w:t>
            </w:r>
          </w:p>
          <w:p w14:paraId="62D8345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(–3.95, –1.18)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1B5CD3E3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53395C9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5AA2F93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940327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216884B2" w14:textId="77777777" w:rsidTr="00C45CCA">
        <w:trPr>
          <w:trHeight w:val="641"/>
        </w:trPr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4883B403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</w:t>
            </w:r>
          </w:p>
          <w:p w14:paraId="7F9DBC0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9.6 μg BID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6142D8F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–2.81</w:t>
            </w:r>
          </w:p>
          <w:p w14:paraId="5C8B65B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(–3.92, –1.72)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6AC9BDFF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–0.05</w:t>
            </w:r>
          </w:p>
          <w:p w14:paraId="588AD965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(–1.72, 1.02)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61C2D7F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0AE454F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49C0B4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374B17F0" w14:textId="77777777" w:rsidTr="00C45CCA">
        <w:trPr>
          <w:trHeight w:val="641"/>
        </w:trPr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41B7709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</w:t>
            </w:r>
          </w:p>
          <w:p w14:paraId="3568099B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IND 110 μg OD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3455F9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–3.12</w:t>
            </w:r>
          </w:p>
          <w:p w14:paraId="47710D5B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(–4.86, –1.85)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71A2C4E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–0.29</w:t>
            </w:r>
          </w:p>
          <w:p w14:paraId="22229AC8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(–2.70, 0.63)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2498BA7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–0.21</w:t>
            </w:r>
          </w:p>
          <w:p w14:paraId="1235DF2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(–2.03, 0.70)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37BE2A3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5674EE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6B514F60" w14:textId="77777777" w:rsidTr="00C45CCA">
        <w:trPr>
          <w:trHeight w:val="641"/>
        </w:trPr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6E21D1D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TIO 2.5 μg x 2 OD </w:t>
            </w:r>
          </w:p>
          <w:p w14:paraId="3B83D3F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OLO 2.5 μg x 2 OD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4B66F92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–2.93</w:t>
            </w:r>
          </w:p>
          <w:p w14:paraId="48703763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(–4.31, –1.71)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1409A6FC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–0.15</w:t>
            </w:r>
          </w:p>
          <w:p w14:paraId="5157D91A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(–2.06, 0.89)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3230A632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–0.07</w:t>
            </w:r>
          </w:p>
          <w:p w14:paraId="0F64874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(–1.43, 0.96)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1EA6BB1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0.10</w:t>
            </w:r>
          </w:p>
          <w:p w14:paraId="7D63097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(–0.92, 1.80)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B6FCE7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091F94F0" w14:textId="77777777" w:rsidTr="00C45CCA">
        <w:trPr>
          <w:trHeight w:val="641"/>
        </w:trPr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295EF808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</w:t>
            </w:r>
          </w:p>
          <w:p w14:paraId="3B5E22F3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VIL 25 μg OD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256F882A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–2.92</w:t>
            </w:r>
          </w:p>
          <w:p w14:paraId="42C77C7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(–4.19, –1.76)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79FEA676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–0.12</w:t>
            </w:r>
          </w:p>
          <w:p w14:paraId="3944F6C7" w14:textId="77777777" w:rsidR="00C45CCA" w:rsidRPr="00182F1E" w:rsidRDefault="00C45CCA" w:rsidP="00C45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(–2.04, 0.89)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25BBF82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–0.06</w:t>
            </w:r>
          </w:p>
          <w:p w14:paraId="372BAB1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(–1.35, 0.94)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214E55D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0.12</w:t>
            </w:r>
          </w:p>
          <w:p w14:paraId="553ECD9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(–0.86, 1.74)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56259E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</w:tbl>
    <w:p w14:paraId="1BA18080" w14:textId="77777777" w:rsidR="00C45CCA" w:rsidRPr="00182F1E" w:rsidRDefault="00C45CCA" w:rsidP="00C45CC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</w:pP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Results are presented as mean difference (95% CrI). A negative treatment difference favors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treatment A.</w:t>
      </w:r>
    </w:p>
    <w:p w14:paraId="1DCB62A7" w14:textId="77777777" w:rsidR="00C45CCA" w:rsidRPr="00182F1E" w:rsidRDefault="00C45CCA" w:rsidP="00C45CCA">
      <w:pPr>
        <w:spacing w:after="120" w:line="360" w:lineRule="auto"/>
        <w:rPr>
          <w:rFonts w:ascii="Times New Roman" w:hAnsi="Times New Roman"/>
          <w:sz w:val="20"/>
          <w:szCs w:val="20"/>
          <w:lang w:val="en-US"/>
        </w:rPr>
      </w:pPr>
      <w:r w:rsidRPr="00182F1E">
        <w:rPr>
          <w:rFonts w:ascii="Times New Roman" w:hAnsi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/>
          <w:sz w:val="20"/>
          <w:szCs w:val="20"/>
          <w:lang w:val="en-US"/>
        </w:rPr>
        <w:t>BID, twice daily; CrI, credible interval; GLY, glycopyrrolate; FOR, formoterol fumarate; IND, indacaterol; OD, once daily; OLO, olodaterol; REM, random-effects model; SGRQ, St George’s Respiratory Questionnaire; TIO, tiotropium; UMEC, umeclidinium; VIL, vilanterol.</w:t>
      </w:r>
    </w:p>
    <w:p w14:paraId="1E946455" w14:textId="77777777" w:rsidR="00C45CCA" w:rsidRPr="00182F1E" w:rsidRDefault="00C45CCA" w:rsidP="00C45CCA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eastAsia="Calibri" w:hAnsi="Times New Roman"/>
          <w:b/>
          <w:bCs w:val="0"/>
          <w:sz w:val="20"/>
          <w:szCs w:val="20"/>
          <w:lang w:val="en-US"/>
        </w:rPr>
      </w:pPr>
    </w:p>
    <w:p w14:paraId="3DD9C52E" w14:textId="77777777" w:rsidR="00C45CCA" w:rsidRPr="00182F1E" w:rsidRDefault="00C45CCA" w:rsidP="00C45CCA">
      <w:pPr>
        <w:rPr>
          <w:rFonts w:ascii="Times New Roman" w:hAnsi="Times New Roman" w:cs="Times New Roman"/>
          <w:sz w:val="20"/>
          <w:szCs w:val="20"/>
          <w:lang w:val="en-US"/>
        </w:rPr>
        <w:sectPr w:rsidR="00C45CCA" w:rsidRPr="00182F1E" w:rsidSect="00C45CC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77A030D" w14:textId="77777777" w:rsidR="005F02F4" w:rsidRPr="00182F1E" w:rsidRDefault="005F02F4" w:rsidP="005F02F4">
      <w:pPr>
        <w:rPr>
          <w:rFonts w:ascii="Times New Roman" w:hAnsi="Times New Roman" w:cs="Times New Roman"/>
          <w:sz w:val="24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>Supplementary Table 1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3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 xml:space="preserve"> Odds ratios of TDI responders at 24 weeks (REM) in the Siddiqui et al NMA</w:t>
      </w:r>
      <w:r w:rsidRPr="00182F1E">
        <w:rPr>
          <w:rFonts w:ascii="Times New Roman" w:hAnsi="Times New Roman" w:cs="Times New Roman"/>
          <w:noProof/>
          <w:sz w:val="24"/>
          <w:szCs w:val="20"/>
          <w:vertAlign w:val="superscript"/>
          <w:lang w:val="en-US"/>
        </w:rPr>
        <w:t>8</w:t>
      </w:r>
    </w:p>
    <w:tbl>
      <w:tblPr>
        <w:tblW w:w="11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840"/>
        <w:gridCol w:w="2001"/>
        <w:gridCol w:w="2001"/>
        <w:gridCol w:w="2001"/>
        <w:gridCol w:w="2001"/>
      </w:tblGrid>
      <w:tr w:rsidR="005F02F4" w:rsidRPr="00182F1E" w14:paraId="41B47532" w14:textId="77777777" w:rsidTr="00DF5068">
        <w:trPr>
          <w:trHeight w:val="283"/>
        </w:trPr>
        <w:tc>
          <w:tcPr>
            <w:tcW w:w="1975" w:type="dxa"/>
            <w:shd w:val="clear" w:color="auto" w:fill="auto"/>
            <w:noWrap/>
          </w:tcPr>
          <w:p w14:paraId="3ED3D70D" w14:textId="77777777" w:rsidR="005F02F4" w:rsidRPr="00182F1E" w:rsidRDefault="005F02F4" w:rsidP="00DF50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9844" w:type="dxa"/>
            <w:gridSpan w:val="5"/>
            <w:shd w:val="clear" w:color="auto" w:fill="auto"/>
            <w:noWrap/>
            <w:vAlign w:val="center"/>
          </w:tcPr>
          <w:p w14:paraId="5FEDD295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5F02F4" w:rsidRPr="00182F1E" w14:paraId="497F8E98" w14:textId="77777777" w:rsidTr="00DF5068">
        <w:trPr>
          <w:trHeight w:val="690"/>
        </w:trPr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4300DB8D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2F388A4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3CDBBF2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ACL 400 μg BID + FOR 12 μg BID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6AFE784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 + FOR 9.6 μg BID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5517A0F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 + IND 110 μg OD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61C479BF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 + VIL 25 μg OD</w:t>
            </w:r>
          </w:p>
        </w:tc>
      </w:tr>
      <w:tr w:rsidR="005F02F4" w:rsidRPr="00182F1E" w14:paraId="342256D6" w14:textId="77777777" w:rsidTr="00DF5068">
        <w:trPr>
          <w:trHeight w:val="690"/>
        </w:trPr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3D8E40E0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55B9B2F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765D0A53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6A621174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4F44805B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11FD0E82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5F02F4" w:rsidRPr="00182F1E" w14:paraId="70280B9D" w14:textId="77777777" w:rsidTr="00DF5068">
        <w:trPr>
          <w:trHeight w:val="690"/>
        </w:trPr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246A1FC5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ACL 400 μg BID</w:t>
            </w:r>
          </w:p>
          <w:p w14:paraId="16517BBF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12 μg BID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F05042F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1.95</w:t>
            </w:r>
          </w:p>
          <w:p w14:paraId="0E7E68F4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(1.57, 2.44)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28CFF02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161FA335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56C4D390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57F514B3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5F02F4" w:rsidRPr="00182F1E" w14:paraId="3F6FD4E2" w14:textId="77777777" w:rsidTr="00DF5068">
        <w:trPr>
          <w:trHeight w:val="690"/>
        </w:trPr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4B527827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</w:t>
            </w:r>
          </w:p>
          <w:p w14:paraId="35D83C39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9.6 μg BID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38B1832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1.87</w:t>
            </w:r>
          </w:p>
          <w:p w14:paraId="4A2C0690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(1.47, 2.32)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6049855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0.98</w:t>
            </w:r>
          </w:p>
          <w:p w14:paraId="4954BC6F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(0.73, 1.10)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2CDDA12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3E33C605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634093B8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5F02F4" w:rsidRPr="00182F1E" w14:paraId="31AC4D76" w14:textId="77777777" w:rsidTr="00DF5068">
        <w:trPr>
          <w:trHeight w:val="690"/>
        </w:trPr>
        <w:tc>
          <w:tcPr>
            <w:tcW w:w="1975" w:type="dxa"/>
            <w:shd w:val="clear" w:color="auto" w:fill="auto"/>
            <w:noWrap/>
            <w:vAlign w:val="center"/>
          </w:tcPr>
          <w:p w14:paraId="4046B02D" w14:textId="77777777" w:rsidR="005F02F4" w:rsidRPr="00182F1E" w:rsidRDefault="005F02F4" w:rsidP="00DF506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GLY 50 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μg</w:t>
            </w:r>
            <w:r w:rsidRPr="00182F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OD </w:t>
            </w:r>
          </w:p>
          <w:p w14:paraId="72E19286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+ IND 110 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μg</w:t>
            </w:r>
            <w:r w:rsidRPr="00182F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OD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52BF1943" w14:textId="77777777" w:rsidR="005F02F4" w:rsidRPr="00182F1E" w:rsidRDefault="005F02F4" w:rsidP="00DF5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1.94</w:t>
            </w:r>
          </w:p>
          <w:p w14:paraId="0838FF7A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(1.54, 2.44)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0DADA086" w14:textId="77777777" w:rsidR="005F02F4" w:rsidRPr="00182F1E" w:rsidRDefault="005F02F4" w:rsidP="00DF5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  <w:p w14:paraId="58F3E6CE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(0.82, 1.18)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1FEA5A89" w14:textId="77777777" w:rsidR="005F02F4" w:rsidRPr="00182F1E" w:rsidRDefault="005F02F4" w:rsidP="00DF5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</w:t>
            </w:r>
          </w:p>
          <w:p w14:paraId="7C9FEA3F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(0.90, 1.33)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1DEA60BC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438DCADD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5F02F4" w:rsidRPr="00182F1E" w14:paraId="3FE7D48B" w14:textId="77777777" w:rsidTr="00DF5068">
        <w:trPr>
          <w:trHeight w:val="690"/>
        </w:trPr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3A248527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</w:t>
            </w:r>
          </w:p>
          <w:p w14:paraId="2615087B" w14:textId="77777777" w:rsidR="005F02F4" w:rsidRPr="00182F1E" w:rsidRDefault="005F02F4" w:rsidP="00DF506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+ VIL 25 μg OD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FF30BF6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1.92</w:t>
            </w:r>
          </w:p>
          <w:p w14:paraId="7A1E9576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(1.55, 2.36)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258B972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0.99</w:t>
            </w:r>
          </w:p>
          <w:p w14:paraId="20CEFB58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(0.80, 1.14)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3F8D29E6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1.01</w:t>
            </w:r>
          </w:p>
          <w:p w14:paraId="258D3F9D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(0.89, 1.25)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36CE2275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1.00</w:t>
            </w:r>
          </w:p>
          <w:p w14:paraId="1D0CB3BB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(0.82, 1.16)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B57BC84" w14:textId="77777777" w:rsidR="005F02F4" w:rsidRPr="00182F1E" w:rsidRDefault="005F02F4" w:rsidP="00DF50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</w:tbl>
    <w:p w14:paraId="3BD1A200" w14:textId="77777777" w:rsidR="005F02F4" w:rsidRPr="00182F1E" w:rsidRDefault="005F02F4" w:rsidP="005F02F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</w:pPr>
      <w:r w:rsidRPr="00182F1E">
        <w:rPr>
          <w:rFonts w:ascii="Times New Roman" w:hAnsi="Times New Roman"/>
          <w:sz w:val="20"/>
          <w:szCs w:val="20"/>
          <w:lang w:val="en-US"/>
        </w:rPr>
        <w:t>Results are presented as odds ratio (95% CrI).</w:t>
      </w:r>
      <w:r w:rsidRPr="00182F1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An odds ratio &gt;1.00 favors 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treatment A</w:t>
      </w:r>
      <w:r w:rsidRPr="00182F1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GB"/>
        </w:rPr>
        <w:t>.</w:t>
      </w:r>
    </w:p>
    <w:p w14:paraId="7440BB1B" w14:textId="77777777" w:rsidR="005F02F4" w:rsidRPr="00182F1E" w:rsidRDefault="005F02F4" w:rsidP="005F02F4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BID, twice daily; 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CrI, credible interval;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GLY, glycopyrrolate; FOR, formoterol fumarate; IND, indacaterol; 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od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once daily; OLO, olodaterol; REM, random effects model; TDI, 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 xml:space="preserve">Transition Dyspnea Index; 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TIO, tiotropium; UMEC, umeclidinium; VI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vilanterol.</w:t>
      </w:r>
    </w:p>
    <w:p w14:paraId="7256E43B" w14:textId="77777777" w:rsidR="005F02F4" w:rsidRDefault="005F02F4" w:rsidP="005F02F4">
      <w:pPr>
        <w:rPr>
          <w:rFonts w:ascii="Times New Roman" w:hAnsi="Times New Roman" w:cs="Times New Roman"/>
          <w:b/>
          <w:sz w:val="24"/>
          <w:szCs w:val="20"/>
          <w:lang w:val="en-US"/>
        </w:rPr>
      </w:pPr>
    </w:p>
    <w:p w14:paraId="3367B400" w14:textId="77777777" w:rsidR="005F02F4" w:rsidRDefault="005F02F4">
      <w:pPr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br w:type="page"/>
      </w:r>
    </w:p>
    <w:p w14:paraId="6317730A" w14:textId="2FE65C17" w:rsidR="00E844EB" w:rsidRPr="00182F1E" w:rsidRDefault="00E844EB" w:rsidP="00E844EB">
      <w:pPr>
        <w:rPr>
          <w:rFonts w:ascii="Times New Roman" w:hAnsi="Times New Roman" w:cs="Times New Roman"/>
          <w:sz w:val="24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>Supplementary Table 1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4</w:t>
      </w: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>Odds ratios of SGRQ responders at 24 weeks (REM) in the Siddiqui et al NMA</w:t>
      </w:r>
      <w:r w:rsidRPr="00182F1E">
        <w:rPr>
          <w:rFonts w:ascii="Times New Roman" w:hAnsi="Times New Roman" w:cs="Times New Roman"/>
          <w:noProof/>
          <w:sz w:val="24"/>
          <w:szCs w:val="20"/>
          <w:vertAlign w:val="superscript"/>
          <w:lang w:val="en-US"/>
        </w:rPr>
        <w:t>8</w:t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40"/>
        <w:gridCol w:w="1820"/>
        <w:gridCol w:w="1743"/>
        <w:gridCol w:w="1837"/>
        <w:gridCol w:w="1980"/>
        <w:gridCol w:w="1980"/>
      </w:tblGrid>
      <w:tr w:rsidR="00E844EB" w:rsidRPr="00182F1E" w14:paraId="57CE7A5D" w14:textId="77777777" w:rsidTr="00CB253D">
        <w:trPr>
          <w:trHeight w:val="283"/>
        </w:trPr>
        <w:tc>
          <w:tcPr>
            <w:tcW w:w="2155" w:type="dxa"/>
            <w:shd w:val="clear" w:color="auto" w:fill="auto"/>
            <w:noWrap/>
            <w:vAlign w:val="center"/>
          </w:tcPr>
          <w:p w14:paraId="15A54317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0800" w:type="dxa"/>
            <w:gridSpan w:val="6"/>
            <w:shd w:val="clear" w:color="auto" w:fill="auto"/>
            <w:noWrap/>
            <w:vAlign w:val="center"/>
          </w:tcPr>
          <w:p w14:paraId="000B97E2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E844EB" w:rsidRPr="00182F1E" w14:paraId="0173BFF5" w14:textId="77777777" w:rsidTr="00CB253D">
        <w:trPr>
          <w:trHeight w:val="64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273923A5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193A98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20E9C844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ACL 400 μg BID + FOR 12 μg BID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43B49386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FOR 9.6 μg BID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14:paraId="018C45B7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 + IND 110 μg OD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D5B1C46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TIO 2.5 μg x 2 OD + OLO 2.5 μg x 2 OD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B589C5F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 + VIL 25 μg OD</w:t>
            </w:r>
          </w:p>
        </w:tc>
      </w:tr>
      <w:tr w:rsidR="00E844EB" w:rsidRPr="00182F1E" w14:paraId="22E59C13" w14:textId="77777777" w:rsidTr="00CB253D">
        <w:trPr>
          <w:trHeight w:val="64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5097CC81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8D5B09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4BEA5C55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14:paraId="78E51094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06B9E698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4D00D31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96DE93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E844EB" w:rsidRPr="00182F1E" w14:paraId="313D982D" w14:textId="77777777" w:rsidTr="00CB253D">
        <w:trPr>
          <w:trHeight w:val="64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5DA1433E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ACL 400 μg BID </w:t>
            </w:r>
          </w:p>
          <w:p w14:paraId="0E9D8029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12 μg BID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4A682E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1.59</w:t>
            </w:r>
          </w:p>
          <w:p w14:paraId="008B8AE6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(1.33, 1.90)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045C5966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 w14:paraId="65DE483D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1B863B9D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7A9BC66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AD37AD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E844EB" w:rsidRPr="00182F1E" w14:paraId="32341F56" w14:textId="77777777" w:rsidTr="00CB253D">
        <w:trPr>
          <w:trHeight w:val="64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2303D642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GLY 18 μg BID </w:t>
            </w:r>
          </w:p>
          <w:p w14:paraId="653F68A2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+ FOR 9.6 μg BID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9DF3B4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1.56</w:t>
            </w:r>
          </w:p>
          <w:p w14:paraId="629B2CF6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(1.32, 1.85)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618BAC5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0.99</w:t>
            </w:r>
          </w:p>
          <w:p w14:paraId="2DC21CDE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(0.82, 1.15)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0ADA2986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6E77A7FC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F74521F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C7F7EE7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E844EB" w:rsidRPr="00182F1E" w14:paraId="7F5F16FD" w14:textId="77777777" w:rsidTr="00CB253D">
        <w:trPr>
          <w:trHeight w:val="64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14A301A8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</w:t>
            </w:r>
          </w:p>
          <w:p w14:paraId="4C835496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IND 110 μg OD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50CE10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1.60</w:t>
            </w:r>
          </w:p>
          <w:p w14:paraId="67FE3844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(1.33, 1.94)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1EC17D98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1.00</w:t>
            </w:r>
          </w:p>
          <w:p w14:paraId="7FFBF17A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(0.85, 1.21)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7F6BDD89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1.01</w:t>
            </w:r>
          </w:p>
          <w:p w14:paraId="681ED9A9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(0.88, 1.25)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14:paraId="02912335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005091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81F99E1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E844EB" w:rsidRPr="00182F1E" w14:paraId="06230CDF" w14:textId="77777777" w:rsidTr="00CB253D">
        <w:trPr>
          <w:trHeight w:val="64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7E01E855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TIO 2.5 μg x 2 OD </w:t>
            </w:r>
          </w:p>
          <w:p w14:paraId="2A3B11F8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OLO 2.5 μg x 2 OD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2D3222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1.66</w:t>
            </w:r>
          </w:p>
          <w:p w14:paraId="5BE9106D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(1.37, 2.11)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172809C8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1.03</w:t>
            </w:r>
          </w:p>
          <w:p w14:paraId="760BEB82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(0.90, 1.33)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4256E0B9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1.04</w:t>
            </w:r>
          </w:p>
          <w:p w14:paraId="19F7F4D9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(0.93, 1.39)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14:paraId="5878E1ED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1.02</w:t>
            </w:r>
          </w:p>
          <w:p w14:paraId="30802AAC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(0.89, 1.31)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F1DFB4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D1FC05A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E844EB" w:rsidRPr="00182F1E" w14:paraId="21834BC8" w14:textId="77777777" w:rsidTr="00CB253D">
        <w:trPr>
          <w:trHeight w:val="64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09B18821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UMEC 62.5 μg OD </w:t>
            </w:r>
          </w:p>
          <w:p w14:paraId="7AC0078B" w14:textId="77777777" w:rsidR="00E844EB" w:rsidRPr="00182F1E" w:rsidRDefault="00E844EB" w:rsidP="00CB25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VIL 25 μg OD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EE4A1F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1.58</w:t>
            </w:r>
          </w:p>
          <w:p w14:paraId="579E4D05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(1.33, 1.88)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6EFD96C6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1.00</w:t>
            </w:r>
          </w:p>
          <w:p w14:paraId="118E2198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 xml:space="preserve"> (0.84, 1.17)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14AB7AD8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1.00</w:t>
            </w:r>
          </w:p>
          <w:p w14:paraId="119473E8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 xml:space="preserve"> (0.88, 1.20)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14:paraId="072F510B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0.99</w:t>
            </w:r>
          </w:p>
          <w:p w14:paraId="3D44CA98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(0.83, 1.16)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31CFA85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0.97</w:t>
            </w:r>
          </w:p>
          <w:p w14:paraId="59C376DD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(0.75, 1.09)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AB3DF1E" w14:textId="77777777" w:rsidR="00E844EB" w:rsidRPr="00182F1E" w:rsidRDefault="00E844EB" w:rsidP="00CB2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</w:tbl>
    <w:p w14:paraId="44FEEEE1" w14:textId="77777777" w:rsidR="00E844EB" w:rsidRPr="00182F1E" w:rsidRDefault="00E844EB" w:rsidP="00E844EB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hAnsi="Times New Roman"/>
          <w:sz w:val="20"/>
          <w:szCs w:val="20"/>
          <w:lang w:val="en-US"/>
        </w:rPr>
      </w:pPr>
      <w:r w:rsidRPr="00182F1E">
        <w:rPr>
          <w:rFonts w:ascii="Times New Roman" w:hAnsi="Times New Roman"/>
          <w:sz w:val="20"/>
          <w:szCs w:val="20"/>
          <w:lang w:val="en-US"/>
        </w:rPr>
        <w:t>Results are presented as odds ratio (95% CrI) An odds ratio</w:t>
      </w:r>
      <w:r w:rsidRPr="00182F1E">
        <w:rPr>
          <w:rFonts w:ascii="Times New Roman" w:hAnsi="Times New Roman"/>
          <w:bCs w:val="0"/>
          <w:sz w:val="20"/>
          <w:szCs w:val="20"/>
          <w:lang w:val="en-US"/>
        </w:rPr>
        <w:t xml:space="preserve"> &gt;1.00 favors treatment A.</w:t>
      </w:r>
    </w:p>
    <w:p w14:paraId="031F0290" w14:textId="77777777" w:rsidR="00E844EB" w:rsidRPr="00182F1E" w:rsidRDefault="00E844EB" w:rsidP="00E844EB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eastAsia="Calibri" w:hAnsi="Times New Roman"/>
          <w:b/>
          <w:bCs w:val="0"/>
          <w:sz w:val="20"/>
          <w:szCs w:val="20"/>
          <w:lang w:val="en-US"/>
        </w:rPr>
      </w:pPr>
      <w:r w:rsidRPr="00182F1E">
        <w:rPr>
          <w:rFonts w:ascii="Times New Roman" w:hAnsi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/>
          <w:sz w:val="20"/>
          <w:szCs w:val="20"/>
          <w:lang w:val="en-US"/>
        </w:rPr>
        <w:t>BID, twice daily; CrI, credible interval; GLY, glycopyrrolate; FOR, formoterol fumarate; IND, indacaterol; OD, once daily; OLO, olodaterol; REM, random effects model; SGRQ, St George’s Respiratory Questionnaire; TIO, tiotropium; UMEC, umeclidinium; VIL, vilanterol.</w:t>
      </w:r>
    </w:p>
    <w:p w14:paraId="386F3084" w14:textId="77777777" w:rsidR="00E844EB" w:rsidRDefault="00E844EB">
      <w:pPr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br w:type="page"/>
      </w:r>
    </w:p>
    <w:p w14:paraId="2A74B69B" w14:textId="77777777" w:rsidR="00C45CCA" w:rsidRPr="00182F1E" w:rsidRDefault="00C45CCA" w:rsidP="00C45CCA">
      <w:pPr>
        <w:tabs>
          <w:tab w:val="left" w:pos="11872"/>
        </w:tabs>
        <w:rPr>
          <w:rFonts w:ascii="Times New Roman" w:hAnsi="Times New Roman" w:cs="Times New Roman"/>
          <w:sz w:val="20"/>
          <w:szCs w:val="20"/>
          <w:lang w:val="en-US"/>
        </w:rPr>
        <w:sectPr w:rsidR="00C45CCA" w:rsidRPr="00182F1E" w:rsidSect="00C45CC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23ADA46" w14:textId="77777777" w:rsidR="005F02F4" w:rsidRPr="00182F1E" w:rsidRDefault="005F02F4" w:rsidP="005F02F4">
      <w:pPr>
        <w:spacing w:after="240" w:line="360" w:lineRule="auto"/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</w:pP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15</w:t>
      </w:r>
      <w:r w:rsidRPr="00182F1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82F1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NMA results for the annualized rate of moderate to severe exacerbations for each treatment comparison by study</w:t>
      </w:r>
      <w:r w:rsidRPr="00182F1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6, 8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2C77"/>
          <w:insideV w:val="single" w:sz="8" w:space="0" w:color="000000" w:themeColor="text1"/>
        </w:tblBorders>
        <w:tblLook w:val="0420" w:firstRow="1" w:lastRow="0" w:firstColumn="0" w:lastColumn="0" w:noHBand="0" w:noVBand="1"/>
      </w:tblPr>
      <w:tblGrid>
        <w:gridCol w:w="2386"/>
        <w:gridCol w:w="3342"/>
        <w:gridCol w:w="4360"/>
        <w:gridCol w:w="3850"/>
      </w:tblGrid>
      <w:tr w:rsidR="005F02F4" w:rsidRPr="00182F1E" w14:paraId="558DD320" w14:textId="77777777" w:rsidTr="00DF5068">
        <w:trPr>
          <w:trHeight w:val="300"/>
        </w:trPr>
        <w:tc>
          <w:tcPr>
            <w:tcW w:w="856" w:type="pct"/>
            <w:tcBorders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14:paraId="46D466F4" w14:textId="77777777" w:rsidR="005F02F4" w:rsidRPr="00182F1E" w:rsidRDefault="005F02F4" w:rsidP="00DF5068">
            <w:pPr>
              <w:pStyle w:val="TableHeading-H56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44" w:type="pct"/>
            <w:gridSpan w:val="3"/>
            <w:shd w:val="clear" w:color="auto" w:fill="FFFFFF" w:themeFill="background1"/>
            <w:vAlign w:val="center"/>
          </w:tcPr>
          <w:p w14:paraId="5D7E68F8" w14:textId="77777777" w:rsidR="005F02F4" w:rsidRPr="00182F1E" w:rsidRDefault="005F02F4" w:rsidP="00DF5068">
            <w:pPr>
              <w:pStyle w:val="TableHeading-H56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B</w:t>
            </w:r>
          </w:p>
        </w:tc>
      </w:tr>
      <w:tr w:rsidR="005F02F4" w:rsidRPr="00182F1E" w14:paraId="25305C49" w14:textId="77777777" w:rsidTr="00DF5068">
        <w:trPr>
          <w:trHeight w:val="300"/>
        </w:trPr>
        <w:tc>
          <w:tcPr>
            <w:tcW w:w="85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E95515" w14:textId="77777777" w:rsidR="005F02F4" w:rsidRPr="00182F1E" w:rsidRDefault="005F02F4" w:rsidP="00DF5068">
            <w:pPr>
              <w:pStyle w:val="TableHeading-H56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71D407" w14:textId="77777777" w:rsidR="005F02F4" w:rsidRPr="00182F1E" w:rsidRDefault="005F02F4" w:rsidP="00DF5068">
            <w:pPr>
              <w:pStyle w:val="TableHeading-H56"/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GLY/FOR 18/9.6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BID</w:t>
            </w:r>
          </w:p>
        </w:tc>
        <w:tc>
          <w:tcPr>
            <w:tcW w:w="156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FE002BC" w14:textId="77777777" w:rsidR="005F02F4" w:rsidRPr="00182F1E" w:rsidRDefault="005F02F4" w:rsidP="00DF5068">
            <w:pPr>
              <w:pStyle w:val="TableHeading-H56"/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GLY/IND 50/110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38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D5B93E" w14:textId="77777777" w:rsidR="005F02F4" w:rsidRPr="00182F1E" w:rsidRDefault="005F02F4" w:rsidP="00DF5068">
            <w:pPr>
              <w:pStyle w:val="TableHeading-H56"/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TIO/OLO 5/5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</w:tr>
      <w:tr w:rsidR="005F02F4" w:rsidRPr="00182F1E" w14:paraId="140455A1" w14:textId="77777777" w:rsidTr="00DF5068">
        <w:trPr>
          <w:trHeight w:val="300"/>
        </w:trPr>
        <w:tc>
          <w:tcPr>
            <w:tcW w:w="856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B51316A" w14:textId="77777777" w:rsidR="005F02F4" w:rsidRPr="00182F1E" w:rsidRDefault="005F02F4" w:rsidP="00DF5068">
            <w:pPr>
              <w:pStyle w:val="TableHeading-H56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GLY/IND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50/110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4E181A2" w14:textId="77777777" w:rsidR="005F02F4" w:rsidRPr="00182F1E" w:rsidRDefault="005F02F4" w:rsidP="00DF5068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5A36DA53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Siddiqui 2019: 0.99</w:t>
            </w:r>
          </w:p>
          <w:p w14:paraId="05627E05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(0.78, 1.14)</w:t>
            </w:r>
          </w:p>
        </w:tc>
        <w:tc>
          <w:tcPr>
            <w:tcW w:w="1564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E892D74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5FA1985A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381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55E8D09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27557208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5F02F4" w:rsidRPr="00182F1E" w14:paraId="61C3ADCE" w14:textId="77777777" w:rsidTr="00DF5068">
        <w:trPr>
          <w:trHeight w:val="300"/>
        </w:trPr>
        <w:tc>
          <w:tcPr>
            <w:tcW w:w="856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0555C839" w14:textId="77777777" w:rsidR="005F02F4" w:rsidRPr="00182F1E" w:rsidRDefault="005F02F4" w:rsidP="00DF5068">
            <w:pPr>
              <w:pStyle w:val="TableHeading-H56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TIO/OLO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5/5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8" w:space="0" w:color="auto"/>
            </w:tcBorders>
          </w:tcPr>
          <w:p w14:paraId="46EEF82A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58B34BB5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564" w:type="pct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  <w:hideMark/>
          </w:tcPr>
          <w:p w14:paraId="716C4088" w14:textId="77777777" w:rsidR="005F02F4" w:rsidRPr="00182F1E" w:rsidRDefault="005F02F4" w:rsidP="00DF5068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60F4A32E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0.95 (0.66, 1.37)</w:t>
            </w:r>
          </w:p>
          <w:p w14:paraId="24250CA1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REM: 0.96 (0.56, 1.62)</w:t>
            </w:r>
          </w:p>
        </w:tc>
        <w:tc>
          <w:tcPr>
            <w:tcW w:w="1381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C624C10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220CD7E8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5F02F4" w:rsidRPr="00182F1E" w14:paraId="7757A075" w14:textId="77777777" w:rsidTr="00DF5068">
        <w:trPr>
          <w:trHeight w:val="300"/>
        </w:trPr>
        <w:tc>
          <w:tcPr>
            <w:tcW w:w="856" w:type="pct"/>
            <w:tcBorders>
              <w:top w:val="single" w:sz="8" w:space="0" w:color="auto"/>
            </w:tcBorders>
            <w:hideMark/>
          </w:tcPr>
          <w:p w14:paraId="2AEF9F77" w14:textId="77777777" w:rsidR="005F02F4" w:rsidRPr="00182F1E" w:rsidRDefault="005F02F4" w:rsidP="00DF5068">
            <w:pPr>
              <w:pStyle w:val="TableHeading-H56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t>UMEC/VIL</w:t>
            </w:r>
            <w:r w:rsidRPr="00182F1E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en-US"/>
              </w:rPr>
              <w:br/>
              <w:t xml:space="preserve">62.5/25 </w:t>
            </w:r>
            <w:r w:rsidRPr="00182F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µg OD</w:t>
            </w:r>
          </w:p>
        </w:tc>
        <w:tc>
          <w:tcPr>
            <w:tcW w:w="1199" w:type="pct"/>
            <w:tcBorders>
              <w:top w:val="single" w:sz="8" w:space="0" w:color="auto"/>
            </w:tcBorders>
            <w:shd w:val="clear" w:color="auto" w:fill="D0CECE" w:themeFill="background2" w:themeFillShade="E6"/>
          </w:tcPr>
          <w:p w14:paraId="45C553B9" w14:textId="77777777" w:rsidR="005F02F4" w:rsidRPr="00182F1E" w:rsidRDefault="005F02F4" w:rsidP="00DF5068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3E29C297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 xml:space="preserve">Siddiqui 2019: 1.00 </w:t>
            </w:r>
          </w:p>
          <w:p w14:paraId="631AE149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(0.82, 1.19)</w:t>
            </w:r>
          </w:p>
        </w:tc>
        <w:tc>
          <w:tcPr>
            <w:tcW w:w="1564" w:type="pct"/>
            <w:tcBorders>
              <w:top w:val="single" w:sz="8" w:space="0" w:color="auto"/>
            </w:tcBorders>
            <w:shd w:val="clear" w:color="auto" w:fill="D0CECE" w:themeFill="background2" w:themeFillShade="E6"/>
            <w:hideMark/>
          </w:tcPr>
          <w:p w14:paraId="1941A3D6" w14:textId="77777777" w:rsidR="005F02F4" w:rsidRPr="00182F1E" w:rsidRDefault="005F02F4" w:rsidP="00DF5068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0636F4F4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1.65 (0.91, 3.08)</w:t>
            </w:r>
          </w:p>
          <w:p w14:paraId="055FEE90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REM: 1.65 (0.79, 3.39)</w:t>
            </w:r>
          </w:p>
          <w:p w14:paraId="4C4FCD73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Siddiqui 2019: 1.01</w:t>
            </w:r>
          </w:p>
          <w:p w14:paraId="2C898507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(0.84, 1.32)</w:t>
            </w:r>
          </w:p>
        </w:tc>
        <w:tc>
          <w:tcPr>
            <w:tcW w:w="1381" w:type="pct"/>
            <w:tcBorders>
              <w:top w:val="single" w:sz="8" w:space="0" w:color="auto"/>
            </w:tcBorders>
            <w:shd w:val="clear" w:color="auto" w:fill="D0CECE" w:themeFill="background2" w:themeFillShade="E6"/>
            <w:hideMark/>
          </w:tcPr>
          <w:p w14:paraId="32C125A0" w14:textId="77777777" w:rsidR="005F02F4" w:rsidRPr="00182F1E" w:rsidRDefault="005F02F4" w:rsidP="00DF5068">
            <w:pPr>
              <w:spacing w:before="60" w:after="60" w:line="360" w:lineRule="auto"/>
              <w:jc w:val="center"/>
              <w:rPr>
                <w:rFonts w:ascii="Times New Roman" w:eastAsia="Calibri" w:hAnsi="Times New Roman"/>
                <w:bCs/>
                <w:sz w:val="20"/>
                <w:lang w:val="en-US"/>
              </w:rPr>
            </w:pPr>
            <w:r w:rsidRPr="00182F1E">
              <w:rPr>
                <w:rFonts w:ascii="Times New Roman" w:eastAsia="Calibri" w:hAnsi="Times New Roman"/>
                <w:bCs/>
                <w:sz w:val="20"/>
                <w:lang w:val="en-US"/>
              </w:rPr>
              <w:t>↔</w:t>
            </w:r>
          </w:p>
          <w:p w14:paraId="36CD3AED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FEM: 1.74 (1.00, 3.08)</w:t>
            </w:r>
          </w:p>
          <w:p w14:paraId="7A5A5ABB" w14:textId="77777777" w:rsidR="005F02F4" w:rsidRPr="00182F1E" w:rsidRDefault="005F02F4" w:rsidP="00DF5068">
            <w:pPr>
              <w:pStyle w:val="TableBodyText-H54"/>
              <w:spacing w:line="36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2F1E">
              <w:rPr>
                <w:rFonts w:ascii="Times New Roman" w:hAnsi="Times New Roman"/>
                <w:sz w:val="20"/>
                <w:lang w:val="en-US"/>
              </w:rPr>
              <w:t>Schlueter 2016 REM: 1.73 (0.90, 3.32)</w:t>
            </w:r>
          </w:p>
        </w:tc>
      </w:tr>
    </w:tbl>
    <w:p w14:paraId="77B39153" w14:textId="77777777" w:rsidR="005F02F4" w:rsidRPr="00182F1E" w:rsidRDefault="005F02F4" w:rsidP="005F02F4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hAnsi="Times New Roman"/>
          <w:sz w:val="20"/>
          <w:szCs w:val="20"/>
          <w:lang w:val="en-US"/>
        </w:rPr>
      </w:pPr>
      <w:r w:rsidRPr="00182F1E">
        <w:rPr>
          <w:rFonts w:ascii="Times New Roman" w:hAnsi="Times New Roman"/>
          <w:sz w:val="20"/>
          <w:szCs w:val="20"/>
          <w:lang w:val="en-US"/>
        </w:rPr>
        <w:t xml:space="preserve">Results are presented as relative risk (95% CrI). </w:t>
      </w:r>
      <w:r w:rsidRPr="00182F1E">
        <w:rPr>
          <w:rFonts w:ascii="Times New Roman" w:eastAsia="Calibri" w:hAnsi="Times New Roman"/>
          <w:bCs w:val="0"/>
          <w:sz w:val="20"/>
          <w:szCs w:val="20"/>
        </w:rPr>
        <w:t>Siddiqui</w:t>
      </w:r>
      <w:r w:rsidRPr="00182F1E">
        <w:rPr>
          <w:rFonts w:ascii="Times New Roman" w:eastAsia="Calibri" w:hAnsi="Times New Roman"/>
          <w:sz w:val="20"/>
          <w:szCs w:val="20"/>
        </w:rPr>
        <w:t xml:space="preserve"> 2019 reports data for GLY/FOR 18/9.6 µg vs other LAMA/LABAs FDCs. For completeness, comparisons between all LAMA/LABA FDCs in the NMA described in Siddiqui 2019 are pr</w:t>
      </w:r>
      <w:r w:rsidRPr="00182F1E">
        <w:rPr>
          <w:rFonts w:ascii="Times New Roman" w:eastAsia="Calibri" w:hAnsi="Times New Roman"/>
          <w:bCs w:val="0"/>
          <w:sz w:val="20"/>
          <w:szCs w:val="20"/>
        </w:rPr>
        <w:t>ovided in Supplementary Table 16.</w:t>
      </w:r>
    </w:p>
    <w:p w14:paraId="3EDB21DA" w14:textId="77777777" w:rsidR="005F02F4" w:rsidRPr="00182F1E" w:rsidRDefault="005F02F4" w:rsidP="005F02F4">
      <w:pPr>
        <w:pStyle w:val="TableNote-H58"/>
        <w:keepLines w:val="0"/>
        <w:spacing w:line="360" w:lineRule="auto"/>
        <w:rPr>
          <w:rFonts w:ascii="Times New Roman" w:eastAsia="Calibri" w:hAnsi="Times New Roman"/>
          <w:sz w:val="20"/>
          <w:szCs w:val="20"/>
          <w:lang w:val="en-US"/>
        </w:rPr>
      </w:pPr>
      <w:r w:rsidRPr="00182F1E">
        <w:rPr>
          <w:rFonts w:ascii="Times New Roman" w:eastAsia="Calibri" w:hAnsi="Times New Roman"/>
          <w:sz w:val="20"/>
          <w:szCs w:val="20"/>
          <w:lang w:val="en-US"/>
        </w:rPr>
        <w:t>↔Statistically non-significant (dark gray shading).</w:t>
      </w:r>
    </w:p>
    <w:p w14:paraId="77AE760B" w14:textId="77777777" w:rsidR="005F02F4" w:rsidRPr="00182F1E" w:rsidRDefault="005F02F4" w:rsidP="005F02F4">
      <w:pPr>
        <w:spacing w:after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/>
          <w:sz w:val="20"/>
          <w:szCs w:val="20"/>
          <w:lang w:val="en-US"/>
        </w:rPr>
        <w:t>CrI, credible interval;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FEM, fixed-effect model; GLY, glycopyrrolate; IND, indacaterol; NMA, network meta-analysis; </w:t>
      </w:r>
      <w:r w:rsidRPr="00182F1E">
        <w:rPr>
          <w:rFonts w:ascii="Times New Roman" w:hAnsi="Times New Roman"/>
          <w:sz w:val="20"/>
          <w:szCs w:val="20"/>
          <w:lang w:val="en-US"/>
        </w:rPr>
        <w:t>OD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, once daily; OLO, olodaterol; REM, random-effects model; TIO, tiotropium; UMEC, umeclidinium; VI</w:t>
      </w:r>
      <w:r w:rsidRPr="00182F1E">
        <w:rPr>
          <w:rFonts w:ascii="Times New Roman" w:hAnsi="Times New Roman"/>
          <w:sz w:val="20"/>
          <w:szCs w:val="20"/>
          <w:lang w:val="en-US"/>
        </w:rPr>
        <w:t>L</w:t>
      </w:r>
      <w:r w:rsidRPr="00182F1E">
        <w:rPr>
          <w:rFonts w:ascii="Times New Roman" w:hAnsi="Times New Roman"/>
          <w:color w:val="000000" w:themeColor="text1"/>
          <w:sz w:val="20"/>
          <w:szCs w:val="20"/>
          <w:lang w:val="en-US"/>
        </w:rPr>
        <w:t>, vilanterol.</w:t>
      </w:r>
    </w:p>
    <w:p w14:paraId="7AF379A1" w14:textId="77777777" w:rsidR="005F02F4" w:rsidRDefault="005F02F4" w:rsidP="005F02F4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14:paraId="5A8E2A47" w14:textId="77777777" w:rsidR="00C45CCA" w:rsidRPr="00182F1E" w:rsidRDefault="00C45CCA" w:rsidP="00C45CCA">
      <w:pPr>
        <w:tabs>
          <w:tab w:val="left" w:pos="11872"/>
        </w:tabs>
        <w:rPr>
          <w:rFonts w:ascii="Times New Roman" w:hAnsi="Times New Roman" w:cs="Times New Roman"/>
          <w:sz w:val="24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4"/>
          <w:szCs w:val="20"/>
          <w:lang w:val="en-US"/>
        </w:rPr>
        <w:t>Supplementary Table 16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 xml:space="preserve"> Rate ratios of the a</w:t>
      </w:r>
      <w:r w:rsidRPr="00182F1E">
        <w:rPr>
          <w:rFonts w:ascii="Times New Roman" w:eastAsia="Calibri" w:hAnsi="Times New Roman" w:cs="Times New Roman"/>
          <w:bCs/>
          <w:sz w:val="24"/>
          <w:szCs w:val="20"/>
          <w:lang w:val="en-US"/>
        </w:rPr>
        <w:t>nnualized rate of moderate to severe exacerbations</w:t>
      </w:r>
      <w:r w:rsidRPr="00182F1E">
        <w:rPr>
          <w:rFonts w:ascii="Times New Roman" w:hAnsi="Times New Roman" w:cs="Times New Roman"/>
          <w:sz w:val="24"/>
          <w:szCs w:val="20"/>
          <w:lang w:val="en-US"/>
        </w:rPr>
        <w:t xml:space="preserve"> (REM) in the Siddiqui et al NMA</w:t>
      </w:r>
      <w:r w:rsidRPr="00182F1E">
        <w:rPr>
          <w:rFonts w:ascii="Times New Roman" w:hAnsi="Times New Roman" w:cs="Times New Roman"/>
          <w:noProof/>
          <w:sz w:val="24"/>
          <w:szCs w:val="20"/>
          <w:vertAlign w:val="superscript"/>
          <w:lang w:val="en-US"/>
        </w:rPr>
        <w:t>8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0"/>
      </w:tblGrid>
      <w:tr w:rsidR="00C45CCA" w:rsidRPr="00182F1E" w14:paraId="7527010D" w14:textId="77777777" w:rsidTr="00C45CCA">
        <w:trPr>
          <w:trHeight w:val="283"/>
        </w:trPr>
        <w:tc>
          <w:tcPr>
            <w:tcW w:w="2020" w:type="dxa"/>
            <w:shd w:val="clear" w:color="auto" w:fill="auto"/>
            <w:vAlign w:val="center"/>
          </w:tcPr>
          <w:p w14:paraId="1AF8DB0F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57F88C3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Treatment B </w:t>
            </w:r>
          </w:p>
        </w:tc>
      </w:tr>
      <w:tr w:rsidR="00C45CCA" w:rsidRPr="00182F1E" w14:paraId="68DC8240" w14:textId="77777777" w:rsidTr="00C45CCA">
        <w:trPr>
          <w:trHeight w:val="641"/>
        </w:trPr>
        <w:tc>
          <w:tcPr>
            <w:tcW w:w="2020" w:type="dxa"/>
            <w:shd w:val="clear" w:color="auto" w:fill="auto"/>
            <w:vAlign w:val="center"/>
            <w:hideMark/>
          </w:tcPr>
          <w:p w14:paraId="746033F9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Treatment 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9B6D929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6B5BD8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 + FOR 9.6 μg BID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535CB3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 +</w:t>
            </w: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br/>
              <w:t>IND 110 μg OD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BC327D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UMEC 62.5 μg OD + VIL 25 μg OD</w:t>
            </w:r>
          </w:p>
        </w:tc>
      </w:tr>
      <w:tr w:rsidR="00C45CCA" w:rsidRPr="00182F1E" w14:paraId="1D2C4AE7" w14:textId="77777777" w:rsidTr="00C45CCA">
        <w:trPr>
          <w:trHeight w:val="641"/>
        </w:trPr>
        <w:tc>
          <w:tcPr>
            <w:tcW w:w="2020" w:type="dxa"/>
            <w:shd w:val="clear" w:color="auto" w:fill="auto"/>
            <w:vAlign w:val="center"/>
            <w:hideMark/>
          </w:tcPr>
          <w:p w14:paraId="6E7DC9F5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AB9ADB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04B480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3175E5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8AAD7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73D98927" w14:textId="77777777" w:rsidTr="00C45CCA">
        <w:trPr>
          <w:trHeight w:val="641"/>
        </w:trPr>
        <w:tc>
          <w:tcPr>
            <w:tcW w:w="2020" w:type="dxa"/>
            <w:shd w:val="clear" w:color="auto" w:fill="auto"/>
            <w:vAlign w:val="center"/>
            <w:hideMark/>
          </w:tcPr>
          <w:p w14:paraId="47422FA6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18 μg BID</w:t>
            </w:r>
          </w:p>
          <w:p w14:paraId="512AD8D5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FOR 9.6 μg BID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3CD41F0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0.75</w:t>
            </w:r>
          </w:p>
          <w:p w14:paraId="246776DF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(0.62, 0.91)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048050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5F5CA5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1603B8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686584DC" w14:textId="77777777" w:rsidTr="00C45CCA">
        <w:trPr>
          <w:trHeight w:val="641"/>
        </w:trPr>
        <w:tc>
          <w:tcPr>
            <w:tcW w:w="2020" w:type="dxa"/>
            <w:shd w:val="clear" w:color="auto" w:fill="auto"/>
            <w:vAlign w:val="center"/>
            <w:hideMark/>
          </w:tcPr>
          <w:p w14:paraId="7B6FA3D0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GLY 50 μg OD</w:t>
            </w:r>
          </w:p>
          <w:p w14:paraId="04EC4C24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IND 110 μg OD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831B201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0.73</w:t>
            </w:r>
          </w:p>
          <w:p w14:paraId="2586C1A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(0.58, 0.91)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C0161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0.99</w:t>
            </w:r>
          </w:p>
          <w:p w14:paraId="0D1C0B7C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(0.78, 1.14)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7F13E1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CE781A5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  <w:tr w:rsidR="00C45CCA" w:rsidRPr="00182F1E" w14:paraId="70CD9283" w14:textId="77777777" w:rsidTr="00C45CCA">
        <w:trPr>
          <w:trHeight w:val="641"/>
        </w:trPr>
        <w:tc>
          <w:tcPr>
            <w:tcW w:w="2020" w:type="dxa"/>
            <w:shd w:val="clear" w:color="auto" w:fill="auto"/>
            <w:vAlign w:val="center"/>
            <w:hideMark/>
          </w:tcPr>
          <w:p w14:paraId="19A6D7AC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UMEC 62.5 μg OD </w:t>
            </w:r>
          </w:p>
          <w:p w14:paraId="30AC9C9B" w14:textId="77777777" w:rsidR="00C45CCA" w:rsidRPr="00182F1E" w:rsidRDefault="00C45CCA" w:rsidP="00C45C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+ VIL 25 μg OD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900A5D8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0.75</w:t>
            </w:r>
          </w:p>
          <w:p w14:paraId="58E750DE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(0.59, 0.96)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164916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1.00</w:t>
            </w:r>
          </w:p>
          <w:p w14:paraId="1AFEB52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(0.82, 1.19)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8792D34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1.01</w:t>
            </w:r>
          </w:p>
          <w:p w14:paraId="1BC80407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(0.84, 1.32)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34F35BD" w14:textId="77777777" w:rsidR="00C45CCA" w:rsidRPr="00182F1E" w:rsidRDefault="00C45CCA" w:rsidP="00C45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18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–</w:t>
            </w:r>
          </w:p>
        </w:tc>
      </w:tr>
    </w:tbl>
    <w:p w14:paraId="197A994A" w14:textId="77777777" w:rsidR="00C45CCA" w:rsidRPr="00182F1E" w:rsidRDefault="00C45CCA" w:rsidP="00C45CCA">
      <w:pPr>
        <w:pStyle w:val="TableNote-H58"/>
        <w:keepLines w:val="0"/>
        <w:shd w:val="clear" w:color="auto" w:fill="FFFFFF" w:themeFill="background1"/>
        <w:spacing w:line="360" w:lineRule="auto"/>
        <w:rPr>
          <w:rFonts w:ascii="Times New Roman" w:hAnsi="Times New Roman"/>
          <w:sz w:val="20"/>
          <w:szCs w:val="20"/>
          <w:lang w:val="en-US"/>
        </w:rPr>
      </w:pPr>
      <w:r w:rsidRPr="00182F1E">
        <w:rPr>
          <w:rFonts w:ascii="Times New Roman" w:hAnsi="Times New Roman"/>
          <w:sz w:val="20"/>
          <w:szCs w:val="20"/>
          <w:lang w:val="en-US"/>
        </w:rPr>
        <w:t>Results are presented as rate ratio (95% CrI). A rate ratio</w:t>
      </w:r>
      <w:r w:rsidRPr="00182F1E">
        <w:rPr>
          <w:rFonts w:ascii="Times New Roman" w:hAnsi="Times New Roman"/>
          <w:bCs w:val="0"/>
          <w:sz w:val="20"/>
          <w:szCs w:val="20"/>
          <w:lang w:val="en-US"/>
        </w:rPr>
        <w:t xml:space="preserve"> &lt;1.00 favors treatment A.</w:t>
      </w:r>
    </w:p>
    <w:p w14:paraId="0F575C5D" w14:textId="77777777" w:rsidR="00C45CCA" w:rsidRPr="00182F1E" w:rsidRDefault="00C45CCA" w:rsidP="00C45CCA">
      <w:pPr>
        <w:spacing w:after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182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Abbreviations: 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BID, twice daily; 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CrI, credible interval;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GLY, glycopyrrolate; FOR, formoterol fumarate; IND, indacaterol; 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OD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once daily; OLO, olodaterol; REM, random effects model; TIO, tiotropium; UMEC, umeclidinium; VI</w:t>
      </w:r>
      <w:r w:rsidRPr="00182F1E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182F1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vilanterol.</w:t>
      </w:r>
    </w:p>
    <w:p w14:paraId="257F2345" w14:textId="77777777" w:rsidR="00C45CCA" w:rsidRPr="00182F1E" w:rsidRDefault="00C45CCA" w:rsidP="00C45CCA"/>
    <w:p w14:paraId="1978CC7C" w14:textId="77777777" w:rsidR="00C45CCA" w:rsidRPr="00182F1E" w:rsidRDefault="00C45CCA" w:rsidP="00C45CCA">
      <w:pPr>
        <w:rPr>
          <w:rFonts w:ascii="Times New Roman" w:hAnsi="Times New Roman" w:cs="Times New Roman"/>
          <w:b/>
          <w:sz w:val="24"/>
          <w:szCs w:val="24"/>
        </w:rPr>
      </w:pPr>
      <w:r w:rsidRPr="00182F1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497049" w14:textId="77777777" w:rsidR="00C45CCA" w:rsidRDefault="00C45CCA" w:rsidP="00C45CCA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  <w:sectPr w:rsidR="00C45CCA" w:rsidSect="00C45CC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E65860B" w14:textId="77777777" w:rsidR="00C45CCA" w:rsidRPr="00182F1E" w:rsidRDefault="00C45CCA" w:rsidP="00C45CCA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2F1E">
        <w:rPr>
          <w:rFonts w:ascii="Times New Roman" w:hAnsi="Times New Roman" w:cs="Times New Roman"/>
          <w:b/>
          <w:sz w:val="24"/>
          <w:szCs w:val="24"/>
        </w:rPr>
        <w:t>SUPPLEMENTARY REFERENCES</w:t>
      </w:r>
    </w:p>
    <w:p w14:paraId="17D458EC" w14:textId="77777777" w:rsidR="00C45CCA" w:rsidRPr="00182F1E" w:rsidRDefault="00C45CCA" w:rsidP="00C45CCA">
      <w:pPr>
        <w:pStyle w:val="EndNoteBibliography"/>
        <w:spacing w:after="240"/>
        <w:ind w:left="720" w:hanging="720"/>
        <w:rPr>
          <w:szCs w:val="24"/>
        </w:rPr>
      </w:pPr>
      <w:r w:rsidRPr="00182F1E">
        <w:rPr>
          <w:szCs w:val="24"/>
        </w:rPr>
        <w:t>1.</w:t>
      </w:r>
      <w:r w:rsidRPr="00182F1E">
        <w:rPr>
          <w:szCs w:val="24"/>
        </w:rPr>
        <w:tab/>
        <w:t xml:space="preserve">Maltais F, Ferguson GT, Feldman GJ, et al. A randomized, double-blind, double-dummy study of glycopyrrolate/formoterol fumarate metered dose inhaler relative to umeclidinium/vilanterol dry powder inhaler in COPD. </w:t>
      </w:r>
      <w:r w:rsidRPr="00182F1E">
        <w:rPr>
          <w:i/>
          <w:szCs w:val="24"/>
        </w:rPr>
        <w:t xml:space="preserve">Adv Ther. </w:t>
      </w:r>
      <w:r w:rsidRPr="00182F1E">
        <w:rPr>
          <w:szCs w:val="24"/>
        </w:rPr>
        <w:t>2019;36(9):2434-2449.</w:t>
      </w:r>
    </w:p>
    <w:p w14:paraId="48641234" w14:textId="77777777" w:rsidR="00C45CCA" w:rsidRPr="00182F1E" w:rsidRDefault="00C45CCA" w:rsidP="00C45CCA">
      <w:pPr>
        <w:pStyle w:val="EndNoteBibliography"/>
        <w:spacing w:after="240"/>
        <w:ind w:left="720" w:hanging="720"/>
        <w:rPr>
          <w:szCs w:val="24"/>
        </w:rPr>
      </w:pPr>
      <w:r w:rsidRPr="00182F1E">
        <w:rPr>
          <w:szCs w:val="24"/>
        </w:rPr>
        <w:t>2.</w:t>
      </w:r>
      <w:r w:rsidRPr="00182F1E">
        <w:rPr>
          <w:szCs w:val="24"/>
        </w:rPr>
        <w:tab/>
        <w:t xml:space="preserve">Kerwin E, Ferguson GT, Sanjar S, et al. Dual bronchodilation with indacaterol maleate/glycopyrronium bromide compared with umeclidinium bromide/vilanterol in patients with moderate-to-severe COPD: results from two randomized, controlled, cross-over studies. </w:t>
      </w:r>
      <w:r w:rsidRPr="00182F1E">
        <w:rPr>
          <w:i/>
          <w:szCs w:val="24"/>
        </w:rPr>
        <w:t xml:space="preserve">Lung. </w:t>
      </w:r>
      <w:r w:rsidRPr="00182F1E">
        <w:rPr>
          <w:szCs w:val="24"/>
        </w:rPr>
        <w:t>2017;195(6):739-747.</w:t>
      </w:r>
    </w:p>
    <w:p w14:paraId="421B1EC5" w14:textId="77777777" w:rsidR="00C45CCA" w:rsidRPr="00182F1E" w:rsidRDefault="00C45CCA" w:rsidP="00C45CCA">
      <w:pPr>
        <w:pStyle w:val="EndNoteBibliography"/>
        <w:spacing w:after="240"/>
        <w:ind w:left="720" w:hanging="720"/>
        <w:rPr>
          <w:szCs w:val="24"/>
        </w:rPr>
      </w:pPr>
      <w:r w:rsidRPr="00182F1E">
        <w:rPr>
          <w:szCs w:val="24"/>
        </w:rPr>
        <w:t>3.</w:t>
      </w:r>
      <w:r w:rsidRPr="00182F1E">
        <w:rPr>
          <w:szCs w:val="24"/>
        </w:rPr>
        <w:tab/>
        <w:t xml:space="preserve">Feldman GJ, Sousa AR, Lipson DA, et al. Comparative efficacy of once-daily umeclidinium/vilanterol and tiotropium/olodaterol therapy in symptomatic chronic obstructive pulmonary disease: a randomized study. </w:t>
      </w:r>
      <w:r w:rsidRPr="00182F1E">
        <w:rPr>
          <w:i/>
          <w:szCs w:val="24"/>
        </w:rPr>
        <w:t xml:space="preserve">Adv Ther. </w:t>
      </w:r>
      <w:r w:rsidRPr="00182F1E">
        <w:rPr>
          <w:szCs w:val="24"/>
        </w:rPr>
        <w:t>2017;34(11):2518-2533.</w:t>
      </w:r>
    </w:p>
    <w:p w14:paraId="25784927" w14:textId="77777777" w:rsidR="00C45CCA" w:rsidRPr="00182F1E" w:rsidRDefault="00C45CCA" w:rsidP="00C45CCA">
      <w:pPr>
        <w:pStyle w:val="EndNoteBibliography"/>
        <w:spacing w:after="240"/>
        <w:ind w:left="720" w:hanging="720"/>
        <w:rPr>
          <w:noProof w:val="0"/>
        </w:rPr>
      </w:pPr>
      <w:r w:rsidRPr="00182F1E">
        <w:rPr>
          <w:noProof w:val="0"/>
        </w:rPr>
        <w:t>4.</w:t>
      </w:r>
      <w:r w:rsidRPr="00182F1E">
        <w:rPr>
          <w:noProof w:val="0"/>
        </w:rPr>
        <w:tab/>
        <w:t xml:space="preserve">Aziz MIA, Tan LE, Wu DB, et al Comparative efficacy of inhaled medications (ICS/LABA, LAMA, LAMA/LABA and SAMA) for COPD: a systematic review and network meta-analysis. </w:t>
      </w:r>
      <w:r w:rsidRPr="00182F1E">
        <w:rPr>
          <w:i/>
          <w:noProof w:val="0"/>
        </w:rPr>
        <w:t xml:space="preserve">Int J Chron Obstruct Pulmon Dis. </w:t>
      </w:r>
      <w:r w:rsidRPr="00182F1E">
        <w:rPr>
          <w:noProof w:val="0"/>
        </w:rPr>
        <w:t>2018;13:3203-3231.</w:t>
      </w:r>
    </w:p>
    <w:p w14:paraId="129B31FD" w14:textId="77777777" w:rsidR="00C45CCA" w:rsidRPr="00182F1E" w:rsidRDefault="00C45CCA" w:rsidP="00C45CCA">
      <w:pPr>
        <w:pStyle w:val="EndNoteBibliography"/>
        <w:spacing w:after="240"/>
        <w:ind w:left="720" w:hanging="720"/>
        <w:rPr>
          <w:noProof w:val="0"/>
        </w:rPr>
      </w:pPr>
      <w:r w:rsidRPr="00182F1E">
        <w:rPr>
          <w:noProof w:val="0"/>
        </w:rPr>
        <w:t>5.</w:t>
      </w:r>
      <w:r w:rsidRPr="00182F1E">
        <w:rPr>
          <w:noProof w:val="0"/>
        </w:rPr>
        <w:tab/>
        <w:t xml:space="preserve">Sion KYJ, Huisman EL, Punekar YS, Naya I, Ismaila AS. A network meta-analysis of long-acting muscarinic antagonist (LAMA) and long-acting β2-agonist (LABA) combinations in COPD. </w:t>
      </w:r>
      <w:r w:rsidRPr="00182F1E">
        <w:rPr>
          <w:i/>
          <w:noProof w:val="0"/>
        </w:rPr>
        <w:t xml:space="preserve">Pulm Ther. </w:t>
      </w:r>
      <w:r w:rsidRPr="00182F1E">
        <w:rPr>
          <w:noProof w:val="0"/>
        </w:rPr>
        <w:t>2017;3(2):297-316.</w:t>
      </w:r>
    </w:p>
    <w:p w14:paraId="66D98210" w14:textId="77777777" w:rsidR="00C45CCA" w:rsidRPr="00182F1E" w:rsidRDefault="00C45CCA" w:rsidP="00C45CCA">
      <w:pPr>
        <w:pStyle w:val="EndNoteBibliography"/>
        <w:spacing w:after="240"/>
        <w:ind w:left="720" w:hanging="720"/>
        <w:rPr>
          <w:noProof w:val="0"/>
        </w:rPr>
      </w:pPr>
      <w:r w:rsidRPr="00182F1E">
        <w:rPr>
          <w:noProof w:val="0"/>
        </w:rPr>
        <w:t>6.</w:t>
      </w:r>
      <w:r w:rsidRPr="00182F1E">
        <w:rPr>
          <w:noProof w:val="0"/>
        </w:rPr>
        <w:tab/>
        <w:t xml:space="preserve">Schlueter M, Gonzalez-Rojas N, Baldwin M, Groenke L, Voss F, Reason T. Comparative efficacy of fixed-dose combinations of long-acting muscarinic antagonists and long-acting β2-agonists: a systematic review and network meta-analysis. </w:t>
      </w:r>
      <w:r w:rsidRPr="00182F1E">
        <w:rPr>
          <w:i/>
          <w:noProof w:val="0"/>
        </w:rPr>
        <w:t xml:space="preserve">Ther Adv Respir Dis. </w:t>
      </w:r>
      <w:r w:rsidRPr="00182F1E">
        <w:rPr>
          <w:noProof w:val="0"/>
        </w:rPr>
        <w:t>2016;10(2):89-104.</w:t>
      </w:r>
    </w:p>
    <w:p w14:paraId="415F80C5" w14:textId="77777777" w:rsidR="00C45CCA" w:rsidRPr="00182F1E" w:rsidRDefault="00C45CCA" w:rsidP="00C45CCA">
      <w:pPr>
        <w:pStyle w:val="EndNoteBibliography"/>
        <w:spacing w:after="240"/>
        <w:ind w:left="720" w:hanging="720"/>
        <w:rPr>
          <w:noProof w:val="0"/>
        </w:rPr>
      </w:pPr>
      <w:r w:rsidRPr="00182F1E">
        <w:rPr>
          <w:noProof w:val="0"/>
        </w:rPr>
        <w:t>7.</w:t>
      </w:r>
      <w:r w:rsidRPr="00182F1E">
        <w:rPr>
          <w:noProof w:val="0"/>
        </w:rPr>
        <w:tab/>
        <w:t xml:space="preserve">Huisman EL, Cockle SM, Ismaila AS, Karabis A, Punekar YS. Comparative efficacy of combination bronchodilator therapies in COPD: a network meta-analysis. </w:t>
      </w:r>
      <w:r w:rsidRPr="00182F1E">
        <w:rPr>
          <w:i/>
          <w:noProof w:val="0"/>
        </w:rPr>
        <w:t xml:space="preserve">Int J Chron Obstruct Pulmon Dis. </w:t>
      </w:r>
      <w:r w:rsidRPr="00182F1E">
        <w:rPr>
          <w:noProof w:val="0"/>
        </w:rPr>
        <w:t>2015;10:1863-1881.</w:t>
      </w:r>
    </w:p>
    <w:p w14:paraId="07DBE10F" w14:textId="77777777" w:rsidR="00C45CCA" w:rsidRPr="00182F1E" w:rsidRDefault="00C45CCA" w:rsidP="00C45CCA">
      <w:pPr>
        <w:pStyle w:val="EndNoteBibliography"/>
        <w:spacing w:after="240"/>
        <w:ind w:left="720" w:hanging="720"/>
        <w:rPr>
          <w:szCs w:val="24"/>
        </w:rPr>
      </w:pPr>
    </w:p>
    <w:p w14:paraId="1955A79C" w14:textId="77777777" w:rsidR="00C45CCA" w:rsidRPr="008F45E4" w:rsidRDefault="00C45CCA" w:rsidP="00C45CCA">
      <w:pPr>
        <w:pStyle w:val="EndNoteBibliography"/>
        <w:spacing w:after="240"/>
        <w:ind w:left="720" w:hanging="720"/>
        <w:rPr>
          <w:szCs w:val="24"/>
        </w:rPr>
      </w:pPr>
      <w:r w:rsidRPr="00182F1E">
        <w:rPr>
          <w:szCs w:val="24"/>
        </w:rPr>
        <w:t>8.</w:t>
      </w:r>
      <w:r w:rsidRPr="00182F1E">
        <w:rPr>
          <w:szCs w:val="24"/>
        </w:rPr>
        <w:tab/>
        <w:t xml:space="preserve">Siddiqui M, Shukla P, Jenkins M, et al. Systematic review and network meta-analysis of the efficacy and safety of glycopyrrolate/formoterol fumarate metered dose inhaler in comparison with other long-acting muscarinic antagonist/long-acting β2-agonist fixed-dose combinations in COPD. </w:t>
      </w:r>
      <w:r w:rsidRPr="00182F1E">
        <w:rPr>
          <w:i/>
          <w:szCs w:val="24"/>
        </w:rPr>
        <w:t xml:space="preserve">Ther Adv Respir Dis. </w:t>
      </w:r>
      <w:r w:rsidRPr="00182F1E">
        <w:rPr>
          <w:szCs w:val="24"/>
        </w:rPr>
        <w:t>2019;13:1753466619894502.</w:t>
      </w:r>
    </w:p>
    <w:sectPr w:rsidR="00C45CCA" w:rsidRPr="008F45E4" w:rsidSect="00C45CC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365CB" w14:textId="77777777" w:rsidR="00EB1344" w:rsidRDefault="00EB1344" w:rsidP="007D6624">
      <w:pPr>
        <w:spacing w:after="0" w:line="240" w:lineRule="auto"/>
      </w:pPr>
      <w:r>
        <w:separator/>
      </w:r>
    </w:p>
  </w:endnote>
  <w:endnote w:type="continuationSeparator" w:id="0">
    <w:p w14:paraId="70B9E31F" w14:textId="77777777" w:rsidR="00EB1344" w:rsidRDefault="00EB1344" w:rsidP="007D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2175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09AF97B" w14:textId="29E608FF" w:rsidR="00C45CCA" w:rsidRPr="00C80CC1" w:rsidRDefault="00C45CCA" w:rsidP="00C45CCA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33E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3ED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3E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F02F4">
          <w:rPr>
            <w:rFonts w:ascii="Times New Roman" w:hAnsi="Times New Roman" w:cs="Times New Roman"/>
            <w:noProof/>
            <w:sz w:val="20"/>
            <w:szCs w:val="20"/>
          </w:rPr>
          <w:t>31</w:t>
        </w:r>
        <w:r w:rsidRPr="00A33ED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5F653" w14:textId="77777777" w:rsidR="00EB1344" w:rsidRDefault="00EB1344" w:rsidP="007D6624">
      <w:pPr>
        <w:spacing w:after="0" w:line="240" w:lineRule="auto"/>
      </w:pPr>
      <w:r>
        <w:separator/>
      </w:r>
    </w:p>
  </w:footnote>
  <w:footnote w:type="continuationSeparator" w:id="0">
    <w:p w14:paraId="7EC42B85" w14:textId="77777777" w:rsidR="00EB1344" w:rsidRDefault="00EB1344" w:rsidP="007D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3BF18" w14:textId="77777777" w:rsidR="00C45CCA" w:rsidRDefault="00C45CCA">
    <w:pPr>
      <w:pStyle w:val="Header"/>
    </w:pPr>
  </w:p>
  <w:p w14:paraId="39A6B471" w14:textId="77777777" w:rsidR="00C45CCA" w:rsidRDefault="00C45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7DC5"/>
    <w:multiLevelType w:val="hybridMultilevel"/>
    <w:tmpl w:val="6E60E152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FDAA2980">
      <w:start w:val="1"/>
      <w:numFmt w:val="bullet"/>
      <w:lvlText w:val="–"/>
      <w:lvlJc w:val="left"/>
      <w:pPr>
        <w:ind w:left="1539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41C4D5E"/>
    <w:multiLevelType w:val="hybridMultilevel"/>
    <w:tmpl w:val="FBF6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A0E"/>
    <w:multiLevelType w:val="hybridMultilevel"/>
    <w:tmpl w:val="0460237C"/>
    <w:lvl w:ilvl="0" w:tplc="FDAA2980">
      <w:start w:val="1"/>
      <w:numFmt w:val="bullet"/>
      <w:lvlText w:val="–"/>
      <w:lvlJc w:val="left"/>
      <w:pPr>
        <w:ind w:left="819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0ADD7BE1"/>
    <w:multiLevelType w:val="hybridMultilevel"/>
    <w:tmpl w:val="563EE3EC"/>
    <w:lvl w:ilvl="0" w:tplc="FDAA2980">
      <w:start w:val="1"/>
      <w:numFmt w:val="bullet"/>
      <w:lvlText w:val="–"/>
      <w:lvlJc w:val="left"/>
      <w:pPr>
        <w:ind w:left="819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0CCF0736"/>
    <w:multiLevelType w:val="hybridMultilevel"/>
    <w:tmpl w:val="56324A42"/>
    <w:lvl w:ilvl="0" w:tplc="08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0FDD4B27"/>
    <w:multiLevelType w:val="hybridMultilevel"/>
    <w:tmpl w:val="CC5EE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F29E9"/>
    <w:multiLevelType w:val="hybridMultilevel"/>
    <w:tmpl w:val="08DC53C4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 w15:restartNumberingAfterBreak="0">
    <w:nsid w:val="2EA059C8"/>
    <w:multiLevelType w:val="hybridMultilevel"/>
    <w:tmpl w:val="51E2C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04782"/>
    <w:multiLevelType w:val="hybridMultilevel"/>
    <w:tmpl w:val="8B48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62DD8"/>
    <w:multiLevelType w:val="hybridMultilevel"/>
    <w:tmpl w:val="F946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3071"/>
    <w:multiLevelType w:val="hybridMultilevel"/>
    <w:tmpl w:val="28C214D2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45080D69"/>
    <w:multiLevelType w:val="hybridMultilevel"/>
    <w:tmpl w:val="3A2069D8"/>
    <w:lvl w:ilvl="0" w:tplc="FDAA2980">
      <w:start w:val="1"/>
      <w:numFmt w:val="bullet"/>
      <w:lvlText w:val="–"/>
      <w:lvlJc w:val="left"/>
      <w:pPr>
        <w:ind w:left="819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461D7B66"/>
    <w:multiLevelType w:val="hybridMultilevel"/>
    <w:tmpl w:val="8DA45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8B5C03"/>
    <w:multiLevelType w:val="hybridMultilevel"/>
    <w:tmpl w:val="6812D8CE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" w15:restartNumberingAfterBreak="0">
    <w:nsid w:val="57F46115"/>
    <w:multiLevelType w:val="hybridMultilevel"/>
    <w:tmpl w:val="4308E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F86623"/>
    <w:multiLevelType w:val="hybridMultilevel"/>
    <w:tmpl w:val="364C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B1D8D"/>
    <w:multiLevelType w:val="hybridMultilevel"/>
    <w:tmpl w:val="A71A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C3EE9"/>
    <w:multiLevelType w:val="hybridMultilevel"/>
    <w:tmpl w:val="B2F4B978"/>
    <w:lvl w:ilvl="0" w:tplc="B3E04F7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66073"/>
    <w:multiLevelType w:val="hybridMultilevel"/>
    <w:tmpl w:val="B8365D60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6FDA456A"/>
    <w:multiLevelType w:val="hybridMultilevel"/>
    <w:tmpl w:val="890C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B4A7E"/>
    <w:multiLevelType w:val="hybridMultilevel"/>
    <w:tmpl w:val="2D48A3E8"/>
    <w:lvl w:ilvl="0" w:tplc="FDAA2980">
      <w:start w:val="1"/>
      <w:numFmt w:val="bullet"/>
      <w:lvlText w:val="–"/>
      <w:lvlJc w:val="left"/>
      <w:pPr>
        <w:ind w:left="819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78D84832"/>
    <w:multiLevelType w:val="hybridMultilevel"/>
    <w:tmpl w:val="C9EAA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73948"/>
    <w:multiLevelType w:val="hybridMultilevel"/>
    <w:tmpl w:val="B4E2E7C6"/>
    <w:lvl w:ilvl="0" w:tplc="282EE5CC">
      <w:start w:val="1"/>
      <w:numFmt w:val="bullet"/>
      <w:pStyle w:val="TableBullet-H55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3"/>
  </w:num>
  <w:num w:numId="5">
    <w:abstractNumId w:val="4"/>
  </w:num>
  <w:num w:numId="6">
    <w:abstractNumId w:val="1"/>
  </w:num>
  <w:num w:numId="7">
    <w:abstractNumId w:val="19"/>
  </w:num>
  <w:num w:numId="8">
    <w:abstractNumId w:val="21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10"/>
  </w:num>
  <w:num w:numId="14">
    <w:abstractNumId w:val="15"/>
  </w:num>
  <w:num w:numId="15">
    <w:abstractNumId w:val="16"/>
  </w:num>
  <w:num w:numId="16">
    <w:abstractNumId w:val="12"/>
  </w:num>
  <w:num w:numId="17">
    <w:abstractNumId w:val="22"/>
  </w:num>
  <w:num w:numId="18">
    <w:abstractNumId w:val="11"/>
  </w:num>
  <w:num w:numId="19">
    <w:abstractNumId w:val="3"/>
  </w:num>
  <w:num w:numId="20">
    <w:abstractNumId w:val="2"/>
  </w:num>
  <w:num w:numId="21">
    <w:abstractNumId w:val="20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E42B9"/>
    <w:rsid w:val="001E42B9"/>
    <w:rsid w:val="00356920"/>
    <w:rsid w:val="003B6324"/>
    <w:rsid w:val="00415269"/>
    <w:rsid w:val="005F02F4"/>
    <w:rsid w:val="007D4BA2"/>
    <w:rsid w:val="007D6624"/>
    <w:rsid w:val="00B035A6"/>
    <w:rsid w:val="00B224CC"/>
    <w:rsid w:val="00C45CCA"/>
    <w:rsid w:val="00E844EB"/>
    <w:rsid w:val="00E9148F"/>
    <w:rsid w:val="00EB1344"/>
    <w:rsid w:val="00ED038E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EAEB"/>
  <w15:chartTrackingRefBased/>
  <w15:docId w15:val="{2162AFA3-9F78-450E-BD10-D6B39FBB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B9"/>
  </w:style>
  <w:style w:type="paragraph" w:styleId="Heading1">
    <w:name w:val="heading 1"/>
    <w:basedOn w:val="Normal"/>
    <w:next w:val="Normal"/>
    <w:link w:val="Heading1Char"/>
    <w:uiPriority w:val="9"/>
    <w:qFormat/>
    <w:rsid w:val="001E4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2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2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2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1E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E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,Bullet 1,Bullet List,Section 5"/>
    <w:basedOn w:val="Normal"/>
    <w:link w:val="ListParagraphChar"/>
    <w:uiPriority w:val="34"/>
    <w:qFormat/>
    <w:rsid w:val="001E42B9"/>
    <w:pPr>
      <w:ind w:left="720"/>
      <w:contextualSpacing/>
    </w:pPr>
  </w:style>
  <w:style w:type="character" w:customStyle="1" w:styleId="ListParagraphChar">
    <w:name w:val="List Paragraph Char"/>
    <w:aliases w:val="Bullet1 Char,Bullet 1 Char,Bullet List Char,Section 5 Char"/>
    <w:basedOn w:val="DefaultParagraphFont"/>
    <w:link w:val="ListParagraph"/>
    <w:uiPriority w:val="34"/>
    <w:rsid w:val="001E42B9"/>
  </w:style>
  <w:style w:type="paragraph" w:styleId="Header">
    <w:name w:val="header"/>
    <w:basedOn w:val="Normal"/>
    <w:link w:val="HeaderChar"/>
    <w:uiPriority w:val="99"/>
    <w:unhideWhenUsed/>
    <w:rsid w:val="001E4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B9"/>
  </w:style>
  <w:style w:type="paragraph" w:styleId="Footer">
    <w:name w:val="footer"/>
    <w:basedOn w:val="Normal"/>
    <w:link w:val="FooterChar"/>
    <w:uiPriority w:val="99"/>
    <w:unhideWhenUsed/>
    <w:rsid w:val="001E4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B9"/>
  </w:style>
  <w:style w:type="character" w:styleId="Hyperlink">
    <w:name w:val="Hyperlink"/>
    <w:basedOn w:val="DefaultParagraphFont"/>
    <w:uiPriority w:val="99"/>
    <w:unhideWhenUsed/>
    <w:rsid w:val="001E42B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2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B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E42B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42B9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1E42B9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1E42B9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E42B9"/>
    <w:pPr>
      <w:spacing w:line="36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1E42B9"/>
    <w:rPr>
      <w:rFonts w:ascii="Times New Roman" w:hAnsi="Times New Roman" w:cs="Times New Roman"/>
      <w:noProof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E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BodyText-H54">
    <w:name w:val="Table Body Text - H54"/>
    <w:basedOn w:val="BodyText"/>
    <w:link w:val="TableBodyText-H54Char"/>
    <w:qFormat/>
    <w:rsid w:val="001E42B9"/>
    <w:pPr>
      <w:keepLines/>
      <w:widowControl w:val="0"/>
      <w:spacing w:before="40" w:after="40" w:line="240" w:lineRule="auto"/>
    </w:pPr>
    <w:rPr>
      <w:rFonts w:ascii="Arial" w:eastAsia="Times New Roman" w:hAnsi="Arial" w:cs="Times New Roman"/>
      <w:color w:val="000000" w:themeColor="text1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E42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42B9"/>
  </w:style>
  <w:style w:type="character" w:customStyle="1" w:styleId="TableBodyText-H54Char">
    <w:name w:val="Table Body Text - H54 Char"/>
    <w:basedOn w:val="DefaultParagraphFont"/>
    <w:link w:val="TableBodyText-H54"/>
    <w:rsid w:val="001E42B9"/>
    <w:rPr>
      <w:rFonts w:ascii="Arial" w:eastAsia="Times New Roman" w:hAnsi="Arial" w:cs="Times New Roman"/>
      <w:color w:val="000000" w:themeColor="text1"/>
      <w:sz w:val="16"/>
      <w:szCs w:val="20"/>
    </w:rPr>
  </w:style>
  <w:style w:type="paragraph" w:customStyle="1" w:styleId="TableHeading-H56">
    <w:name w:val="Table Heading - H56"/>
    <w:basedOn w:val="Heading4"/>
    <w:qFormat/>
    <w:rsid w:val="001E42B9"/>
    <w:pPr>
      <w:keepLines w:val="0"/>
      <w:tabs>
        <w:tab w:val="left" w:pos="1440"/>
      </w:tabs>
      <w:spacing w:before="80" w:after="40" w:line="240" w:lineRule="auto"/>
      <w:outlineLvl w:val="9"/>
    </w:pPr>
    <w:rPr>
      <w:rFonts w:ascii="Arial" w:eastAsia="Arial Unicode MS" w:hAnsi="Arial" w:cs="Times New Roman"/>
      <w:b/>
      <w:i w:val="0"/>
      <w:iCs w:val="0"/>
      <w:color w:val="44546A" w:themeColor="text2"/>
      <w:sz w:val="16"/>
      <w:szCs w:val="44"/>
    </w:rPr>
  </w:style>
  <w:style w:type="paragraph" w:customStyle="1" w:styleId="TableNote-H58">
    <w:name w:val="Table Note - H58"/>
    <w:basedOn w:val="BodyText"/>
    <w:link w:val="TableNote-H58Char"/>
    <w:qFormat/>
    <w:rsid w:val="001E42B9"/>
    <w:pPr>
      <w:keepLines/>
      <w:tabs>
        <w:tab w:val="left" w:pos="680"/>
      </w:tabs>
      <w:spacing w:before="45" w:line="240" w:lineRule="auto"/>
      <w:jc w:val="both"/>
    </w:pPr>
    <w:rPr>
      <w:rFonts w:ascii="Arial" w:eastAsia="Times New Roman" w:hAnsi="Arial" w:cs="Times New Roman"/>
      <w:bCs/>
      <w:color w:val="000000" w:themeColor="text1"/>
      <w:sz w:val="12"/>
      <w:szCs w:val="12"/>
    </w:rPr>
  </w:style>
  <w:style w:type="character" w:customStyle="1" w:styleId="TableNote-H58Char">
    <w:name w:val="Table Note - H58 Char"/>
    <w:basedOn w:val="DefaultParagraphFont"/>
    <w:link w:val="TableNote-H58"/>
    <w:rsid w:val="001E42B9"/>
    <w:rPr>
      <w:rFonts w:ascii="Arial" w:eastAsia="Times New Roman" w:hAnsi="Arial" w:cs="Times New Roman"/>
      <w:bCs/>
      <w:color w:val="000000" w:themeColor="text1"/>
      <w:sz w:val="12"/>
      <w:szCs w:val="12"/>
    </w:rPr>
  </w:style>
  <w:style w:type="table" w:customStyle="1" w:styleId="Table-HERONplain">
    <w:name w:val="Table - HERON plain"/>
    <w:basedOn w:val="TableNormal"/>
    <w:uiPriority w:val="99"/>
    <w:qFormat/>
    <w:rsid w:val="001E42B9"/>
    <w:pPr>
      <w:spacing w:after="0" w:line="240" w:lineRule="auto"/>
    </w:pPr>
    <w:rPr>
      <w:rFonts w:ascii="Tahoma" w:eastAsia="Tahoma" w:hAnsi="Tahoma" w:cs="Times New Roman"/>
      <w:sz w:val="16"/>
      <w:szCs w:val="20"/>
      <w:lang w:eastAsia="en-GB"/>
    </w:rPr>
    <w:tblPr>
      <w:tblStyleRowBandSize w:val="1"/>
      <w:tblInd w:w="113" w:type="dxa"/>
      <w:tblBorders>
        <w:top w:val="single" w:sz="8" w:space="0" w:color="002C77"/>
        <w:left w:val="single" w:sz="8" w:space="0" w:color="002C77"/>
        <w:bottom w:val="single" w:sz="8" w:space="0" w:color="002C77"/>
        <w:right w:val="single" w:sz="8" w:space="0" w:color="002C77"/>
        <w:insideH w:val="single" w:sz="8" w:space="0" w:color="002C77"/>
        <w:insideV w:val="single" w:sz="8" w:space="0" w:color="002C77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Tahoma" w:hAnsi="Tahoma"/>
        <w:b w:val="0"/>
        <w:sz w:val="16"/>
      </w:rPr>
      <w:tblPr/>
      <w:trPr>
        <w:cantSplit w:val="0"/>
        <w:tblHeader/>
      </w:trPr>
      <w:tcPr>
        <w:shd w:val="clear" w:color="auto" w:fill="C7C7C7"/>
      </w:tcPr>
    </w:tblStylePr>
    <w:tblStylePr w:type="lastRow">
      <w:rPr>
        <w:rFonts w:ascii="Tahoma" w:hAnsi="Tahoma"/>
        <w:sz w:val="16"/>
      </w:rPr>
      <w:tblPr/>
      <w:tcPr>
        <w:shd w:val="clear" w:color="auto" w:fill="DEDEDE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band2Horz">
      <w:rPr>
        <w:rFonts w:ascii="Tahoma" w:hAnsi="Tahoma"/>
        <w:sz w:val="16"/>
      </w:rPr>
    </w:tblStylePr>
  </w:style>
  <w:style w:type="table" w:customStyle="1" w:styleId="Style1">
    <w:name w:val="Style1"/>
    <w:basedOn w:val="TableGrid8"/>
    <w:uiPriority w:val="99"/>
    <w:qFormat/>
    <w:rsid w:val="001E42B9"/>
    <w:pPr>
      <w:keepLines/>
      <w:widowControl w:val="0"/>
      <w:spacing w:after="0" w:line="240" w:lineRule="auto"/>
    </w:pPr>
    <w:rPr>
      <w:rFonts w:ascii="Tahoma" w:eastAsia="Tahoma" w:hAnsi="Tahoma" w:cs="Times New Roman"/>
      <w:sz w:val="20"/>
      <w:szCs w:val="20"/>
      <w:lang w:val="en-NZ" w:eastAsia="en-GB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42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-H55">
    <w:name w:val="Table Bullet - H55"/>
    <w:basedOn w:val="Normal"/>
    <w:qFormat/>
    <w:rsid w:val="001E42B9"/>
    <w:pPr>
      <w:keepLines/>
      <w:widowControl w:val="0"/>
      <w:numPr>
        <w:numId w:val="17"/>
      </w:numPr>
      <w:spacing w:after="0" w:line="240" w:lineRule="auto"/>
    </w:pPr>
    <w:rPr>
      <w:rFonts w:ascii="Arial" w:eastAsia="Times New Roman" w:hAnsi="Arial" w:cs="Times New Roman"/>
      <w:color w:val="000000" w:themeColor="text1"/>
      <w:sz w:val="16"/>
      <w:szCs w:val="16"/>
      <w:lang w:eastAsia="en-GB"/>
    </w:rPr>
  </w:style>
  <w:style w:type="paragraph" w:customStyle="1" w:styleId="Default">
    <w:name w:val="Default"/>
    <w:rsid w:val="001E42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C5E13-9FCF-45D6-B9AD-77CA09390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12FB7-31A8-43AD-B348-45D6077E621B}">
  <ds:schemaRefs>
    <ds:schemaRef ds:uri="6ce3f3c5-67c1-4935-b6d4-117a97b95e5e"/>
    <ds:schemaRef ds:uri="http://purl.org/dc/terms/"/>
    <ds:schemaRef ds:uri="ed9649d3-dfe7-4f11-acff-17a289f69a3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296EE4B-2C10-44A9-A41F-82322EAF2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4606</Words>
  <Characters>26258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Casson</dc:creator>
  <cp:keywords/>
  <dc:description/>
  <cp:lastModifiedBy>Boon Lee</cp:lastModifiedBy>
  <cp:revision>2</cp:revision>
  <dcterms:created xsi:type="dcterms:W3CDTF">2020-06-11T01:21:00Z</dcterms:created>
  <dcterms:modified xsi:type="dcterms:W3CDTF">2020-06-11T01:21:00Z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