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0BDD" w14:textId="77777777" w:rsidR="009B6B20" w:rsidRPr="00EC381F" w:rsidRDefault="009B6B20" w:rsidP="009B6B20">
      <w:pPr>
        <w:pStyle w:val="Heading1"/>
        <w:rPr>
          <w:color w:val="000000"/>
          <w:szCs w:val="20"/>
        </w:rPr>
      </w:pPr>
      <w:r w:rsidRPr="00EC381F">
        <w:rPr>
          <w:color w:val="000000"/>
          <w:szCs w:val="20"/>
        </w:rPr>
        <w:t>Supplementary material</w:t>
      </w:r>
    </w:p>
    <w:p w14:paraId="0D6DF7A7" w14:textId="77777777" w:rsidR="009B6B20" w:rsidRPr="00EC381F" w:rsidRDefault="009B6B20" w:rsidP="009B6B20">
      <w:pPr>
        <w:pStyle w:val="Heading1"/>
        <w:rPr>
          <w:color w:val="000000"/>
        </w:rPr>
      </w:pPr>
      <w:r w:rsidRPr="00EC381F">
        <w:rPr>
          <w:color w:val="000000"/>
        </w:rPr>
        <w:t>Tables</w:t>
      </w:r>
    </w:p>
    <w:p w14:paraId="4EC27764" w14:textId="77777777" w:rsidR="009B6B20" w:rsidRPr="00EC381F" w:rsidRDefault="009B6B20" w:rsidP="009B6B20">
      <w:pPr>
        <w:widowControl w:val="0"/>
        <w:rPr>
          <w:rFonts w:cs="Arial"/>
          <w:b/>
          <w:bCs/>
          <w:color w:val="000000"/>
        </w:rPr>
      </w:pPr>
      <w:r w:rsidRPr="00EC381F">
        <w:rPr>
          <w:rFonts w:cs="Arial"/>
          <w:b/>
          <w:bCs/>
          <w:color w:val="000000"/>
        </w:rPr>
        <w:t>Table S1.</w:t>
      </w:r>
      <w:r w:rsidRPr="00EC381F">
        <w:rPr>
          <w:rFonts w:cs="Arial"/>
          <w:color w:val="000000"/>
        </w:rPr>
        <w:t xml:space="preserve"> </w:t>
      </w:r>
      <w:r w:rsidRPr="00EC381F">
        <w:rPr>
          <w:rFonts w:cs="Arial"/>
          <w:b/>
          <w:bCs/>
          <w:color w:val="000000"/>
        </w:rPr>
        <w:t xml:space="preserve">The volumes of polyelectrolytes used for the formation of consecutive layers of the multilayer shell.  </w:t>
      </w:r>
    </w:p>
    <w:tbl>
      <w:tblPr>
        <w:tblW w:w="8789" w:type="dxa"/>
        <w:tblBorders>
          <w:top w:val="single" w:sz="4" w:space="0" w:color="auto"/>
          <w:bottom w:val="single" w:sz="4" w:space="0" w:color="auto"/>
        </w:tblBorders>
        <w:tblLook w:val="04A0" w:firstRow="1" w:lastRow="0" w:firstColumn="1" w:lastColumn="0" w:noHBand="0" w:noVBand="1"/>
      </w:tblPr>
      <w:tblGrid>
        <w:gridCol w:w="1540"/>
        <w:gridCol w:w="1075"/>
        <w:gridCol w:w="939"/>
        <w:gridCol w:w="1043"/>
        <w:gridCol w:w="939"/>
        <w:gridCol w:w="1043"/>
        <w:gridCol w:w="939"/>
        <w:gridCol w:w="1271"/>
      </w:tblGrid>
      <w:tr w:rsidR="009B6B20" w:rsidRPr="00EC381F" w14:paraId="20FA271B" w14:textId="77777777" w:rsidTr="000C0066">
        <w:trPr>
          <w:trHeight w:val="917"/>
        </w:trPr>
        <w:tc>
          <w:tcPr>
            <w:tcW w:w="1540" w:type="dxa"/>
            <w:tcBorders>
              <w:top w:val="single" w:sz="4" w:space="0" w:color="auto"/>
              <w:bottom w:val="single" w:sz="4" w:space="0" w:color="auto"/>
            </w:tcBorders>
            <w:shd w:val="clear" w:color="auto" w:fill="F2F2F2"/>
            <w:vAlign w:val="center"/>
          </w:tcPr>
          <w:p w14:paraId="156B1A3D" w14:textId="77777777" w:rsidR="009B6B20" w:rsidRPr="00EC381F" w:rsidRDefault="009B6B20" w:rsidP="000C0066">
            <w:pPr>
              <w:jc w:val="center"/>
              <w:rPr>
                <w:rFonts w:eastAsia="Calibri" w:cs="Arial"/>
                <w:color w:val="000000"/>
                <w:szCs w:val="20"/>
              </w:rPr>
            </w:pPr>
          </w:p>
        </w:tc>
        <w:tc>
          <w:tcPr>
            <w:tcW w:w="1075" w:type="dxa"/>
            <w:tcBorders>
              <w:top w:val="single" w:sz="4" w:space="0" w:color="auto"/>
              <w:bottom w:val="single" w:sz="4" w:space="0" w:color="auto"/>
            </w:tcBorders>
            <w:shd w:val="clear" w:color="auto" w:fill="F2F2F2"/>
            <w:vAlign w:val="center"/>
          </w:tcPr>
          <w:p w14:paraId="48DA40A5"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AOT/PLL</w:t>
            </w:r>
          </w:p>
          <w:p w14:paraId="77EED367"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(core)</w:t>
            </w:r>
          </w:p>
        </w:tc>
        <w:tc>
          <w:tcPr>
            <w:tcW w:w="939" w:type="dxa"/>
            <w:tcBorders>
              <w:top w:val="single" w:sz="4" w:space="0" w:color="auto"/>
              <w:bottom w:val="single" w:sz="4" w:space="0" w:color="auto"/>
            </w:tcBorders>
            <w:shd w:val="clear" w:color="auto" w:fill="F2F2F2"/>
            <w:vAlign w:val="center"/>
          </w:tcPr>
          <w:p w14:paraId="203111FA"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PGA</w:t>
            </w:r>
          </w:p>
        </w:tc>
        <w:tc>
          <w:tcPr>
            <w:tcW w:w="1043" w:type="dxa"/>
            <w:tcBorders>
              <w:top w:val="single" w:sz="4" w:space="0" w:color="auto"/>
              <w:bottom w:val="single" w:sz="4" w:space="0" w:color="auto"/>
            </w:tcBorders>
            <w:shd w:val="clear" w:color="auto" w:fill="F2F2F2"/>
            <w:vAlign w:val="center"/>
          </w:tcPr>
          <w:p w14:paraId="158B6B88"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PLL</w:t>
            </w:r>
          </w:p>
        </w:tc>
        <w:tc>
          <w:tcPr>
            <w:tcW w:w="939" w:type="dxa"/>
            <w:tcBorders>
              <w:top w:val="single" w:sz="4" w:space="0" w:color="auto"/>
              <w:bottom w:val="single" w:sz="4" w:space="0" w:color="auto"/>
            </w:tcBorders>
            <w:shd w:val="clear" w:color="auto" w:fill="F2F2F2"/>
            <w:vAlign w:val="center"/>
          </w:tcPr>
          <w:p w14:paraId="20A8ED5E"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PGA</w:t>
            </w:r>
          </w:p>
        </w:tc>
        <w:tc>
          <w:tcPr>
            <w:tcW w:w="1043" w:type="dxa"/>
            <w:tcBorders>
              <w:top w:val="single" w:sz="4" w:space="0" w:color="auto"/>
              <w:bottom w:val="single" w:sz="4" w:space="0" w:color="auto"/>
            </w:tcBorders>
            <w:shd w:val="clear" w:color="auto" w:fill="F2F2F2"/>
            <w:vAlign w:val="center"/>
          </w:tcPr>
          <w:p w14:paraId="0BA6E207"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PLL</w:t>
            </w:r>
          </w:p>
        </w:tc>
        <w:tc>
          <w:tcPr>
            <w:tcW w:w="939" w:type="dxa"/>
            <w:tcBorders>
              <w:top w:val="single" w:sz="4" w:space="0" w:color="auto"/>
              <w:bottom w:val="single" w:sz="4" w:space="0" w:color="auto"/>
            </w:tcBorders>
            <w:shd w:val="clear" w:color="auto" w:fill="F2F2F2"/>
            <w:vAlign w:val="center"/>
          </w:tcPr>
          <w:p w14:paraId="1C39E6D5"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PGA</w:t>
            </w:r>
          </w:p>
        </w:tc>
        <w:tc>
          <w:tcPr>
            <w:tcW w:w="1271" w:type="dxa"/>
            <w:tcBorders>
              <w:top w:val="single" w:sz="4" w:space="0" w:color="auto"/>
              <w:bottom w:val="single" w:sz="4" w:space="0" w:color="auto"/>
            </w:tcBorders>
            <w:shd w:val="clear" w:color="auto" w:fill="F2F2F2"/>
            <w:vAlign w:val="center"/>
          </w:tcPr>
          <w:p w14:paraId="74594D5F"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PLL-g-PEG</w:t>
            </w:r>
          </w:p>
        </w:tc>
      </w:tr>
      <w:tr w:rsidR="009B6B20" w:rsidRPr="00EC381F" w14:paraId="3B6C4A1C" w14:textId="77777777" w:rsidTr="000C0066">
        <w:trPr>
          <w:trHeight w:val="398"/>
        </w:trPr>
        <w:tc>
          <w:tcPr>
            <w:tcW w:w="1540" w:type="dxa"/>
            <w:tcBorders>
              <w:top w:val="single" w:sz="4" w:space="0" w:color="auto"/>
            </w:tcBorders>
            <w:shd w:val="clear" w:color="auto" w:fill="auto"/>
            <w:vAlign w:val="center"/>
          </w:tcPr>
          <w:p w14:paraId="37BAF85F"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NC-PGA</w:t>
            </w:r>
          </w:p>
        </w:tc>
        <w:tc>
          <w:tcPr>
            <w:tcW w:w="1075" w:type="dxa"/>
            <w:tcBorders>
              <w:top w:val="single" w:sz="4" w:space="0" w:color="auto"/>
            </w:tcBorders>
            <w:shd w:val="clear" w:color="auto" w:fill="auto"/>
            <w:vAlign w:val="center"/>
          </w:tcPr>
          <w:p w14:paraId="1AD72BE1"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10 ml</w:t>
            </w:r>
          </w:p>
        </w:tc>
        <w:tc>
          <w:tcPr>
            <w:tcW w:w="939" w:type="dxa"/>
            <w:tcBorders>
              <w:top w:val="single" w:sz="4" w:space="0" w:color="auto"/>
            </w:tcBorders>
            <w:shd w:val="clear" w:color="auto" w:fill="auto"/>
            <w:vAlign w:val="center"/>
          </w:tcPr>
          <w:p w14:paraId="4BBB28A2"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 ml</w:t>
            </w:r>
          </w:p>
        </w:tc>
        <w:tc>
          <w:tcPr>
            <w:tcW w:w="1043" w:type="dxa"/>
            <w:tcBorders>
              <w:top w:val="single" w:sz="4" w:space="0" w:color="auto"/>
            </w:tcBorders>
            <w:shd w:val="clear" w:color="auto" w:fill="auto"/>
            <w:vAlign w:val="center"/>
          </w:tcPr>
          <w:p w14:paraId="6612BD25"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939" w:type="dxa"/>
            <w:tcBorders>
              <w:top w:val="single" w:sz="4" w:space="0" w:color="auto"/>
            </w:tcBorders>
            <w:shd w:val="clear" w:color="auto" w:fill="auto"/>
            <w:vAlign w:val="center"/>
          </w:tcPr>
          <w:p w14:paraId="77EF1CAA"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1043" w:type="dxa"/>
            <w:tcBorders>
              <w:top w:val="single" w:sz="4" w:space="0" w:color="auto"/>
            </w:tcBorders>
            <w:shd w:val="clear" w:color="auto" w:fill="auto"/>
            <w:vAlign w:val="center"/>
          </w:tcPr>
          <w:p w14:paraId="2B2B9900"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4.5 ml</w:t>
            </w:r>
          </w:p>
        </w:tc>
        <w:tc>
          <w:tcPr>
            <w:tcW w:w="939" w:type="dxa"/>
            <w:tcBorders>
              <w:top w:val="single" w:sz="4" w:space="0" w:color="auto"/>
            </w:tcBorders>
            <w:shd w:val="clear" w:color="auto" w:fill="auto"/>
            <w:vAlign w:val="center"/>
          </w:tcPr>
          <w:p w14:paraId="42995690"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6 ml</w:t>
            </w:r>
          </w:p>
        </w:tc>
        <w:tc>
          <w:tcPr>
            <w:tcW w:w="1271" w:type="dxa"/>
            <w:tcBorders>
              <w:top w:val="single" w:sz="4" w:space="0" w:color="auto"/>
            </w:tcBorders>
            <w:shd w:val="clear" w:color="auto" w:fill="auto"/>
            <w:vAlign w:val="center"/>
          </w:tcPr>
          <w:p w14:paraId="0F9AA9AF"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w:t>
            </w:r>
          </w:p>
        </w:tc>
      </w:tr>
      <w:tr w:rsidR="009B6B20" w:rsidRPr="00EC381F" w14:paraId="28F3B135" w14:textId="77777777" w:rsidTr="000C0066">
        <w:trPr>
          <w:trHeight w:val="398"/>
        </w:trPr>
        <w:tc>
          <w:tcPr>
            <w:tcW w:w="1540" w:type="dxa"/>
            <w:tcBorders>
              <w:bottom w:val="single" w:sz="4" w:space="0" w:color="auto"/>
            </w:tcBorders>
            <w:shd w:val="clear" w:color="auto" w:fill="auto"/>
            <w:vAlign w:val="center"/>
          </w:tcPr>
          <w:p w14:paraId="4463DC1A"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NC-PEG</w:t>
            </w:r>
          </w:p>
        </w:tc>
        <w:tc>
          <w:tcPr>
            <w:tcW w:w="1075" w:type="dxa"/>
            <w:tcBorders>
              <w:bottom w:val="single" w:sz="4" w:space="0" w:color="auto"/>
            </w:tcBorders>
            <w:shd w:val="clear" w:color="auto" w:fill="auto"/>
            <w:vAlign w:val="center"/>
          </w:tcPr>
          <w:p w14:paraId="45FFB9AC"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10 ml</w:t>
            </w:r>
          </w:p>
        </w:tc>
        <w:tc>
          <w:tcPr>
            <w:tcW w:w="939" w:type="dxa"/>
            <w:tcBorders>
              <w:bottom w:val="single" w:sz="4" w:space="0" w:color="auto"/>
            </w:tcBorders>
            <w:shd w:val="clear" w:color="auto" w:fill="auto"/>
            <w:vAlign w:val="center"/>
          </w:tcPr>
          <w:p w14:paraId="7E82C85B"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 ml</w:t>
            </w:r>
          </w:p>
        </w:tc>
        <w:tc>
          <w:tcPr>
            <w:tcW w:w="1043" w:type="dxa"/>
            <w:tcBorders>
              <w:bottom w:val="single" w:sz="4" w:space="0" w:color="auto"/>
            </w:tcBorders>
            <w:shd w:val="clear" w:color="auto" w:fill="auto"/>
            <w:vAlign w:val="center"/>
          </w:tcPr>
          <w:p w14:paraId="7A4D5932"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939" w:type="dxa"/>
            <w:tcBorders>
              <w:bottom w:val="single" w:sz="4" w:space="0" w:color="auto"/>
            </w:tcBorders>
            <w:shd w:val="clear" w:color="auto" w:fill="auto"/>
            <w:vAlign w:val="center"/>
          </w:tcPr>
          <w:p w14:paraId="0463C309"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1043" w:type="dxa"/>
            <w:tcBorders>
              <w:bottom w:val="single" w:sz="4" w:space="0" w:color="auto"/>
            </w:tcBorders>
            <w:shd w:val="clear" w:color="auto" w:fill="auto"/>
            <w:vAlign w:val="center"/>
          </w:tcPr>
          <w:p w14:paraId="023DEB18"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4.5 ml</w:t>
            </w:r>
          </w:p>
        </w:tc>
        <w:tc>
          <w:tcPr>
            <w:tcW w:w="939" w:type="dxa"/>
            <w:tcBorders>
              <w:bottom w:val="single" w:sz="4" w:space="0" w:color="auto"/>
            </w:tcBorders>
            <w:shd w:val="clear" w:color="auto" w:fill="auto"/>
            <w:vAlign w:val="center"/>
          </w:tcPr>
          <w:p w14:paraId="1C709B63"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6 ml</w:t>
            </w:r>
          </w:p>
        </w:tc>
        <w:tc>
          <w:tcPr>
            <w:tcW w:w="1271" w:type="dxa"/>
            <w:tcBorders>
              <w:bottom w:val="single" w:sz="4" w:space="0" w:color="auto"/>
            </w:tcBorders>
            <w:shd w:val="clear" w:color="auto" w:fill="auto"/>
            <w:vAlign w:val="center"/>
          </w:tcPr>
          <w:p w14:paraId="2705EA21"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25 ml</w:t>
            </w:r>
          </w:p>
        </w:tc>
      </w:tr>
      <w:tr w:rsidR="009B6B20" w:rsidRPr="00EC381F" w14:paraId="34D0F63A" w14:textId="77777777" w:rsidTr="000C0066">
        <w:trPr>
          <w:trHeight w:val="917"/>
        </w:trPr>
        <w:tc>
          <w:tcPr>
            <w:tcW w:w="1540" w:type="dxa"/>
            <w:tcBorders>
              <w:top w:val="single" w:sz="4" w:space="0" w:color="auto"/>
              <w:bottom w:val="single" w:sz="4" w:space="0" w:color="auto"/>
            </w:tcBorders>
            <w:shd w:val="clear" w:color="auto" w:fill="F2F2F2"/>
            <w:vAlign w:val="center"/>
          </w:tcPr>
          <w:p w14:paraId="27E20117" w14:textId="77777777" w:rsidR="009B6B20" w:rsidRPr="00EC381F" w:rsidRDefault="009B6B20" w:rsidP="000C0066">
            <w:pPr>
              <w:jc w:val="center"/>
              <w:rPr>
                <w:rFonts w:eastAsia="Calibri" w:cs="Arial"/>
                <w:color w:val="000000"/>
                <w:szCs w:val="20"/>
              </w:rPr>
            </w:pPr>
          </w:p>
        </w:tc>
        <w:tc>
          <w:tcPr>
            <w:tcW w:w="1075" w:type="dxa"/>
            <w:tcBorders>
              <w:top w:val="single" w:sz="4" w:space="0" w:color="auto"/>
              <w:bottom w:val="single" w:sz="4" w:space="0" w:color="auto"/>
            </w:tcBorders>
            <w:shd w:val="clear" w:color="auto" w:fill="F2F2F2"/>
            <w:vAlign w:val="center"/>
          </w:tcPr>
          <w:p w14:paraId="2450AA18"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AOT/PLL</w:t>
            </w:r>
          </w:p>
          <w:p w14:paraId="459A3349"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(core)</w:t>
            </w:r>
          </w:p>
        </w:tc>
        <w:tc>
          <w:tcPr>
            <w:tcW w:w="939" w:type="dxa"/>
            <w:tcBorders>
              <w:top w:val="single" w:sz="4" w:space="0" w:color="auto"/>
              <w:bottom w:val="single" w:sz="4" w:space="0" w:color="auto"/>
            </w:tcBorders>
            <w:shd w:val="clear" w:color="auto" w:fill="F2F2F2"/>
            <w:vAlign w:val="center"/>
          </w:tcPr>
          <w:p w14:paraId="47AE45D2"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PGA</w:t>
            </w:r>
          </w:p>
        </w:tc>
        <w:tc>
          <w:tcPr>
            <w:tcW w:w="1043" w:type="dxa"/>
            <w:tcBorders>
              <w:top w:val="single" w:sz="4" w:space="0" w:color="auto"/>
              <w:bottom w:val="single" w:sz="4" w:space="0" w:color="auto"/>
            </w:tcBorders>
            <w:shd w:val="clear" w:color="auto" w:fill="F2F2F2"/>
            <w:vAlign w:val="center"/>
          </w:tcPr>
          <w:p w14:paraId="03B95C04" w14:textId="77777777" w:rsidR="009B6B20" w:rsidRPr="00EC381F" w:rsidRDefault="009B6B20" w:rsidP="000C0066">
            <w:pPr>
              <w:jc w:val="center"/>
              <w:rPr>
                <w:rFonts w:eastAsia="Calibri" w:cs="Arial"/>
                <w:color w:val="000000"/>
                <w:szCs w:val="20"/>
              </w:rPr>
            </w:pPr>
            <w:proofErr w:type="spellStart"/>
            <w:r w:rsidRPr="00EC381F">
              <w:rPr>
                <w:rFonts w:eastAsia="Calibri" w:cs="Arial"/>
                <w:color w:val="000000"/>
                <w:szCs w:val="20"/>
              </w:rPr>
              <w:t>PLL-RhB</w:t>
            </w:r>
            <w:proofErr w:type="spellEnd"/>
          </w:p>
        </w:tc>
        <w:tc>
          <w:tcPr>
            <w:tcW w:w="939" w:type="dxa"/>
            <w:tcBorders>
              <w:top w:val="single" w:sz="4" w:space="0" w:color="auto"/>
              <w:bottom w:val="single" w:sz="4" w:space="0" w:color="auto"/>
            </w:tcBorders>
            <w:shd w:val="clear" w:color="auto" w:fill="F2F2F2"/>
            <w:vAlign w:val="center"/>
          </w:tcPr>
          <w:p w14:paraId="790BA6F1"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PGA</w:t>
            </w:r>
          </w:p>
        </w:tc>
        <w:tc>
          <w:tcPr>
            <w:tcW w:w="1043" w:type="dxa"/>
            <w:tcBorders>
              <w:top w:val="single" w:sz="4" w:space="0" w:color="auto"/>
              <w:bottom w:val="single" w:sz="4" w:space="0" w:color="auto"/>
            </w:tcBorders>
            <w:shd w:val="clear" w:color="auto" w:fill="F2F2F2"/>
            <w:vAlign w:val="center"/>
          </w:tcPr>
          <w:p w14:paraId="4F10732C" w14:textId="77777777" w:rsidR="009B6B20" w:rsidRPr="00EC381F" w:rsidRDefault="009B6B20" w:rsidP="000C0066">
            <w:pPr>
              <w:jc w:val="center"/>
              <w:rPr>
                <w:rFonts w:eastAsia="Calibri" w:cs="Arial"/>
                <w:color w:val="000000"/>
                <w:szCs w:val="20"/>
              </w:rPr>
            </w:pPr>
            <w:proofErr w:type="spellStart"/>
            <w:r w:rsidRPr="00EC381F">
              <w:rPr>
                <w:rFonts w:eastAsia="Calibri" w:cs="Arial"/>
                <w:color w:val="000000"/>
                <w:szCs w:val="20"/>
              </w:rPr>
              <w:t>PLL-RhB</w:t>
            </w:r>
            <w:proofErr w:type="spellEnd"/>
          </w:p>
        </w:tc>
        <w:tc>
          <w:tcPr>
            <w:tcW w:w="939" w:type="dxa"/>
            <w:tcBorders>
              <w:top w:val="single" w:sz="4" w:space="0" w:color="auto"/>
              <w:bottom w:val="single" w:sz="4" w:space="0" w:color="auto"/>
            </w:tcBorders>
            <w:shd w:val="clear" w:color="auto" w:fill="F2F2F2"/>
            <w:vAlign w:val="center"/>
          </w:tcPr>
          <w:p w14:paraId="451F3022"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PGA</w:t>
            </w:r>
          </w:p>
        </w:tc>
        <w:tc>
          <w:tcPr>
            <w:tcW w:w="1271" w:type="dxa"/>
            <w:tcBorders>
              <w:top w:val="single" w:sz="4" w:space="0" w:color="auto"/>
              <w:bottom w:val="single" w:sz="4" w:space="0" w:color="auto"/>
            </w:tcBorders>
            <w:shd w:val="clear" w:color="auto" w:fill="F2F2F2"/>
            <w:vAlign w:val="center"/>
          </w:tcPr>
          <w:p w14:paraId="58865753"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PLL-g-PEG</w:t>
            </w:r>
          </w:p>
        </w:tc>
      </w:tr>
      <w:tr w:rsidR="009B6B20" w:rsidRPr="00EC381F" w14:paraId="5AF8C10C" w14:textId="77777777" w:rsidTr="000C0066">
        <w:trPr>
          <w:trHeight w:val="398"/>
        </w:trPr>
        <w:tc>
          <w:tcPr>
            <w:tcW w:w="1540" w:type="dxa"/>
            <w:tcBorders>
              <w:top w:val="single" w:sz="4" w:space="0" w:color="auto"/>
            </w:tcBorders>
            <w:shd w:val="clear" w:color="auto" w:fill="auto"/>
            <w:vAlign w:val="center"/>
          </w:tcPr>
          <w:p w14:paraId="4F82D833"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NC-PGA-</w:t>
            </w:r>
            <w:proofErr w:type="spellStart"/>
            <w:r w:rsidRPr="00EC381F">
              <w:rPr>
                <w:rFonts w:eastAsia="Calibri" w:cs="Arial"/>
                <w:color w:val="000000"/>
                <w:szCs w:val="20"/>
              </w:rPr>
              <w:t>RhB</w:t>
            </w:r>
            <w:proofErr w:type="spellEnd"/>
          </w:p>
        </w:tc>
        <w:tc>
          <w:tcPr>
            <w:tcW w:w="1075" w:type="dxa"/>
            <w:tcBorders>
              <w:top w:val="single" w:sz="4" w:space="0" w:color="auto"/>
            </w:tcBorders>
            <w:shd w:val="clear" w:color="auto" w:fill="auto"/>
            <w:vAlign w:val="center"/>
          </w:tcPr>
          <w:p w14:paraId="69AD0127"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10 ml</w:t>
            </w:r>
          </w:p>
        </w:tc>
        <w:tc>
          <w:tcPr>
            <w:tcW w:w="939" w:type="dxa"/>
            <w:tcBorders>
              <w:top w:val="single" w:sz="4" w:space="0" w:color="auto"/>
            </w:tcBorders>
            <w:shd w:val="clear" w:color="auto" w:fill="auto"/>
            <w:vAlign w:val="center"/>
          </w:tcPr>
          <w:p w14:paraId="2D123333"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 ml</w:t>
            </w:r>
          </w:p>
        </w:tc>
        <w:tc>
          <w:tcPr>
            <w:tcW w:w="1043" w:type="dxa"/>
            <w:tcBorders>
              <w:top w:val="single" w:sz="4" w:space="0" w:color="auto"/>
            </w:tcBorders>
            <w:shd w:val="clear" w:color="auto" w:fill="auto"/>
            <w:vAlign w:val="center"/>
          </w:tcPr>
          <w:p w14:paraId="2E42F2EF"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939" w:type="dxa"/>
            <w:tcBorders>
              <w:top w:val="single" w:sz="4" w:space="0" w:color="auto"/>
            </w:tcBorders>
            <w:shd w:val="clear" w:color="auto" w:fill="auto"/>
            <w:vAlign w:val="center"/>
          </w:tcPr>
          <w:p w14:paraId="596E98A2"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1043" w:type="dxa"/>
            <w:tcBorders>
              <w:top w:val="single" w:sz="4" w:space="0" w:color="auto"/>
            </w:tcBorders>
            <w:shd w:val="clear" w:color="auto" w:fill="auto"/>
            <w:vAlign w:val="center"/>
          </w:tcPr>
          <w:p w14:paraId="02E26894"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4.5 ml</w:t>
            </w:r>
          </w:p>
        </w:tc>
        <w:tc>
          <w:tcPr>
            <w:tcW w:w="939" w:type="dxa"/>
            <w:tcBorders>
              <w:top w:val="single" w:sz="4" w:space="0" w:color="auto"/>
            </w:tcBorders>
            <w:shd w:val="clear" w:color="auto" w:fill="auto"/>
            <w:vAlign w:val="center"/>
          </w:tcPr>
          <w:p w14:paraId="42D2B48E"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6 ml</w:t>
            </w:r>
          </w:p>
        </w:tc>
        <w:tc>
          <w:tcPr>
            <w:tcW w:w="1271" w:type="dxa"/>
            <w:tcBorders>
              <w:top w:val="single" w:sz="4" w:space="0" w:color="auto"/>
            </w:tcBorders>
            <w:shd w:val="clear" w:color="auto" w:fill="auto"/>
            <w:vAlign w:val="center"/>
          </w:tcPr>
          <w:p w14:paraId="28658DAC"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w:t>
            </w:r>
          </w:p>
        </w:tc>
      </w:tr>
      <w:tr w:rsidR="009B6B20" w:rsidRPr="00EC381F" w14:paraId="36925A10" w14:textId="77777777" w:rsidTr="000C0066">
        <w:trPr>
          <w:trHeight w:val="398"/>
        </w:trPr>
        <w:tc>
          <w:tcPr>
            <w:tcW w:w="1540" w:type="dxa"/>
            <w:shd w:val="clear" w:color="auto" w:fill="auto"/>
            <w:vAlign w:val="center"/>
          </w:tcPr>
          <w:p w14:paraId="1412C0BB"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NC-PEG-</w:t>
            </w:r>
            <w:proofErr w:type="spellStart"/>
            <w:r w:rsidRPr="00EC381F">
              <w:rPr>
                <w:rFonts w:eastAsia="Calibri" w:cs="Arial"/>
                <w:color w:val="000000"/>
                <w:szCs w:val="20"/>
              </w:rPr>
              <w:t>RhB</w:t>
            </w:r>
            <w:proofErr w:type="spellEnd"/>
          </w:p>
        </w:tc>
        <w:tc>
          <w:tcPr>
            <w:tcW w:w="1075" w:type="dxa"/>
            <w:shd w:val="clear" w:color="auto" w:fill="auto"/>
            <w:vAlign w:val="center"/>
          </w:tcPr>
          <w:p w14:paraId="2E787178"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10 ml</w:t>
            </w:r>
          </w:p>
        </w:tc>
        <w:tc>
          <w:tcPr>
            <w:tcW w:w="939" w:type="dxa"/>
            <w:shd w:val="clear" w:color="auto" w:fill="auto"/>
            <w:vAlign w:val="center"/>
          </w:tcPr>
          <w:p w14:paraId="5DA5D086"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1 ml</w:t>
            </w:r>
          </w:p>
        </w:tc>
        <w:tc>
          <w:tcPr>
            <w:tcW w:w="1043" w:type="dxa"/>
            <w:shd w:val="clear" w:color="auto" w:fill="auto"/>
            <w:vAlign w:val="center"/>
          </w:tcPr>
          <w:p w14:paraId="3D3D8CE8"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939" w:type="dxa"/>
            <w:shd w:val="clear" w:color="auto" w:fill="auto"/>
            <w:vAlign w:val="center"/>
          </w:tcPr>
          <w:p w14:paraId="7D536D27"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 ml</w:t>
            </w:r>
          </w:p>
        </w:tc>
        <w:tc>
          <w:tcPr>
            <w:tcW w:w="1043" w:type="dxa"/>
            <w:shd w:val="clear" w:color="auto" w:fill="auto"/>
            <w:vAlign w:val="center"/>
          </w:tcPr>
          <w:p w14:paraId="048F7F50"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4.5 ml</w:t>
            </w:r>
          </w:p>
        </w:tc>
        <w:tc>
          <w:tcPr>
            <w:tcW w:w="939" w:type="dxa"/>
            <w:shd w:val="clear" w:color="auto" w:fill="auto"/>
            <w:vAlign w:val="center"/>
          </w:tcPr>
          <w:p w14:paraId="1013C335"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6 ml</w:t>
            </w:r>
          </w:p>
        </w:tc>
        <w:tc>
          <w:tcPr>
            <w:tcW w:w="1271" w:type="dxa"/>
            <w:shd w:val="clear" w:color="auto" w:fill="auto"/>
            <w:vAlign w:val="center"/>
          </w:tcPr>
          <w:p w14:paraId="613482FF" w14:textId="77777777" w:rsidR="009B6B20" w:rsidRPr="00EC381F" w:rsidRDefault="009B6B20" w:rsidP="000C0066">
            <w:pPr>
              <w:jc w:val="center"/>
              <w:rPr>
                <w:rFonts w:eastAsia="Calibri" w:cs="Arial"/>
                <w:color w:val="000000"/>
                <w:szCs w:val="20"/>
              </w:rPr>
            </w:pPr>
            <w:r w:rsidRPr="00EC381F">
              <w:rPr>
                <w:rFonts w:eastAsia="Calibri" w:cs="Arial"/>
                <w:color w:val="000000"/>
                <w:szCs w:val="20"/>
              </w:rPr>
              <w:t>25 ml</w:t>
            </w:r>
          </w:p>
        </w:tc>
      </w:tr>
    </w:tbl>
    <w:p w14:paraId="2795E118" w14:textId="77777777" w:rsidR="009B6B20" w:rsidRPr="00EC381F" w:rsidRDefault="009B6B20" w:rsidP="009B6B20">
      <w:pPr>
        <w:widowControl w:val="0"/>
        <w:rPr>
          <w:b/>
          <w:bCs/>
          <w:color w:val="000000"/>
        </w:rPr>
      </w:pPr>
      <w:r w:rsidRPr="00EC381F">
        <w:rPr>
          <w:b/>
          <w:bCs/>
          <w:color w:val="000000"/>
        </w:rPr>
        <w:t xml:space="preserve">Notes: </w:t>
      </w:r>
      <w:r w:rsidRPr="00EC381F">
        <w:rPr>
          <w:color w:val="000000"/>
        </w:rPr>
        <w:t xml:space="preserve">Concentration of </w:t>
      </w:r>
      <w:proofErr w:type="spellStart"/>
      <w:r w:rsidRPr="00EC381F">
        <w:rPr>
          <w:color w:val="000000"/>
        </w:rPr>
        <w:t>PLL</w:t>
      </w:r>
      <w:proofErr w:type="spellEnd"/>
      <w:r w:rsidRPr="00EC381F">
        <w:rPr>
          <w:color w:val="000000"/>
        </w:rPr>
        <w:t xml:space="preserve">, </w:t>
      </w:r>
      <w:proofErr w:type="spellStart"/>
      <w:r w:rsidRPr="00EC381F">
        <w:rPr>
          <w:color w:val="000000"/>
        </w:rPr>
        <w:t>PLL-RhB</w:t>
      </w:r>
      <w:proofErr w:type="spellEnd"/>
      <w:r w:rsidRPr="00EC381F">
        <w:rPr>
          <w:color w:val="000000"/>
        </w:rPr>
        <w:t xml:space="preserve">, PGA and </w:t>
      </w:r>
      <w:proofErr w:type="spellStart"/>
      <w:r w:rsidRPr="00EC381F">
        <w:rPr>
          <w:color w:val="000000"/>
        </w:rPr>
        <w:t>PLL</w:t>
      </w:r>
      <w:proofErr w:type="spellEnd"/>
      <w:r w:rsidRPr="00EC381F">
        <w:rPr>
          <w:color w:val="000000"/>
        </w:rPr>
        <w:t>-g-PEG was 2000 ppm.</w:t>
      </w:r>
    </w:p>
    <w:p w14:paraId="3BE921EC" w14:textId="77777777" w:rsidR="009B6B20" w:rsidRPr="00EC381F" w:rsidRDefault="009B6B20" w:rsidP="009B6B20">
      <w:pPr>
        <w:widowControl w:val="0"/>
        <w:rPr>
          <w:rFonts w:cs="Arial"/>
          <w:color w:val="000000"/>
          <w:szCs w:val="20"/>
        </w:rPr>
      </w:pPr>
      <w:r w:rsidRPr="00EC381F">
        <w:rPr>
          <w:rFonts w:cs="Arial"/>
          <w:b/>
          <w:color w:val="000000"/>
          <w:szCs w:val="20"/>
        </w:rPr>
        <w:t>Abbreviations:</w:t>
      </w:r>
      <w:r w:rsidRPr="00EC381F">
        <w:rPr>
          <w:rFonts w:cs="Arial"/>
          <w:color w:val="000000"/>
          <w:szCs w:val="20"/>
        </w:rPr>
        <w:t xml:space="preserve"> SD, standard deviation.</w:t>
      </w:r>
    </w:p>
    <w:p w14:paraId="79C72A28" w14:textId="77777777" w:rsidR="009B6B20" w:rsidRPr="00EC381F" w:rsidRDefault="009B6B20" w:rsidP="009B6B20">
      <w:pPr>
        <w:pStyle w:val="Heading1"/>
        <w:rPr>
          <w:color w:val="000000"/>
        </w:rPr>
      </w:pPr>
      <w:r w:rsidRPr="00EC381F">
        <w:rPr>
          <w:color w:val="000000"/>
        </w:rPr>
        <w:lastRenderedPageBreak/>
        <w:t>Figures</w:t>
      </w:r>
    </w:p>
    <w:p w14:paraId="68A92F0C" w14:textId="77777777" w:rsidR="009B6B20" w:rsidRPr="00EC381F" w:rsidRDefault="009B6B20" w:rsidP="009B6B20">
      <w:pPr>
        <w:rPr>
          <w:color w:val="000000"/>
        </w:rPr>
      </w:pPr>
      <w:r w:rsidRPr="00EC381F">
        <w:rPr>
          <w:rFonts w:ascii="Times New Roman" w:hAnsi="Times New Roman"/>
          <w:b/>
          <w:noProof/>
          <w:color w:val="000000"/>
          <w:sz w:val="24"/>
        </w:rPr>
        <w:drawing>
          <wp:inline distT="0" distB="0" distL="0" distR="0" wp14:anchorId="359D079B" wp14:editId="64399435">
            <wp:extent cx="5486400" cy="61487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6148705"/>
                    </a:xfrm>
                    <a:prstGeom prst="rect">
                      <a:avLst/>
                    </a:prstGeom>
                    <a:noFill/>
                    <a:ln>
                      <a:noFill/>
                    </a:ln>
                  </pic:spPr>
                </pic:pic>
              </a:graphicData>
            </a:graphic>
          </wp:inline>
        </w:drawing>
      </w:r>
    </w:p>
    <w:p w14:paraId="3D7EDC91" w14:textId="77777777" w:rsidR="009B6B20" w:rsidRPr="00EC381F" w:rsidRDefault="009B6B20" w:rsidP="009B6B20">
      <w:pPr>
        <w:rPr>
          <w:rFonts w:cs="Arial"/>
          <w:b/>
          <w:bCs/>
          <w:color w:val="000000"/>
        </w:rPr>
      </w:pPr>
      <w:r w:rsidRPr="00EC381F">
        <w:rPr>
          <w:rFonts w:cs="Arial"/>
          <w:b/>
          <w:bCs/>
          <w:color w:val="000000"/>
        </w:rPr>
        <w:t>Figure S1.</w:t>
      </w:r>
      <w:r w:rsidRPr="00EC381F">
        <w:rPr>
          <w:color w:val="000000"/>
        </w:rPr>
        <w:t xml:space="preserve"> </w:t>
      </w:r>
      <w:r w:rsidRPr="00EC381F">
        <w:rPr>
          <w:rFonts w:cs="Arial"/>
          <w:b/>
          <w:bCs/>
          <w:color w:val="000000"/>
        </w:rPr>
        <w:t xml:space="preserve">Structure of polyelectrolyte </w:t>
      </w:r>
      <w:proofErr w:type="spellStart"/>
      <w:r w:rsidRPr="00EC381F">
        <w:rPr>
          <w:rFonts w:cs="Arial"/>
          <w:b/>
          <w:bCs/>
          <w:color w:val="000000"/>
        </w:rPr>
        <w:t>nanocapsules</w:t>
      </w:r>
      <w:proofErr w:type="spellEnd"/>
      <w:r w:rsidRPr="00EC381F">
        <w:rPr>
          <w:rFonts w:cs="Arial"/>
          <w:b/>
          <w:bCs/>
          <w:color w:val="000000"/>
        </w:rPr>
        <w:t xml:space="preserve"> functionalized with two different stealth polymers and scheme of the experiment performed to assess the toxicity of the </w:t>
      </w:r>
      <w:proofErr w:type="spellStart"/>
      <w:r w:rsidRPr="00EC381F">
        <w:rPr>
          <w:rFonts w:cs="Arial"/>
          <w:b/>
          <w:bCs/>
          <w:color w:val="000000"/>
        </w:rPr>
        <w:t>nanocapsules</w:t>
      </w:r>
      <w:proofErr w:type="spellEnd"/>
      <w:r w:rsidRPr="00EC381F">
        <w:rPr>
          <w:rFonts w:cs="Arial"/>
          <w:b/>
          <w:bCs/>
          <w:color w:val="000000"/>
        </w:rPr>
        <w:t xml:space="preserve">. </w:t>
      </w:r>
    </w:p>
    <w:p w14:paraId="46E06E28" w14:textId="77777777" w:rsidR="009B6B20" w:rsidRPr="00EC381F" w:rsidRDefault="009B6B20" w:rsidP="009B6B20">
      <w:pPr>
        <w:rPr>
          <w:color w:val="000000"/>
        </w:rPr>
      </w:pPr>
      <w:r w:rsidRPr="00EC381F">
        <w:rPr>
          <w:rFonts w:cs="Arial"/>
          <w:b/>
          <w:color w:val="000000"/>
          <w:szCs w:val="20"/>
        </w:rPr>
        <w:t>Notes:</w:t>
      </w:r>
      <w:r w:rsidRPr="00EC381F">
        <w:rPr>
          <w:color w:val="000000"/>
        </w:rPr>
        <w:t xml:space="preserve"> (A) Polyelectrolyte </w:t>
      </w:r>
      <w:proofErr w:type="spellStart"/>
      <w:r w:rsidRPr="00EC381F">
        <w:rPr>
          <w:color w:val="000000"/>
        </w:rPr>
        <w:t>nanocapsules</w:t>
      </w:r>
      <w:proofErr w:type="spellEnd"/>
      <w:r w:rsidRPr="00EC381F">
        <w:rPr>
          <w:color w:val="000000"/>
        </w:rPr>
        <w:t xml:space="preserve"> were obtained by encapsulation of </w:t>
      </w:r>
      <w:proofErr w:type="spellStart"/>
      <w:r w:rsidRPr="00EC381F">
        <w:rPr>
          <w:color w:val="000000"/>
        </w:rPr>
        <w:t>nanoemulsion</w:t>
      </w:r>
      <w:proofErr w:type="spellEnd"/>
      <w:r w:rsidRPr="00EC381F">
        <w:rPr>
          <w:color w:val="000000"/>
        </w:rPr>
        <w:t xml:space="preserve"> droplets in shells formed of poly-amino acids, poly-L-lysine (PLL) and poly-L-glutamic acid (PGA), </w:t>
      </w:r>
      <w:r w:rsidRPr="00EC381F">
        <w:rPr>
          <w:color w:val="000000"/>
        </w:rPr>
        <w:lastRenderedPageBreak/>
        <w:t>poly-L-lysine grafted with PEG (PEGylation) using layer-by-layer (</w:t>
      </w:r>
      <w:proofErr w:type="spellStart"/>
      <w:r w:rsidRPr="00EC381F">
        <w:rPr>
          <w:color w:val="000000"/>
        </w:rPr>
        <w:t>LbL</w:t>
      </w:r>
      <w:proofErr w:type="spellEnd"/>
      <w:r w:rsidRPr="00EC381F">
        <w:rPr>
          <w:color w:val="000000"/>
        </w:rPr>
        <w:t xml:space="preserve">) method. (B) 8 doses of NC-PEG (PGA-terminated polyelectrolyte </w:t>
      </w:r>
      <w:proofErr w:type="spellStart"/>
      <w:r w:rsidRPr="00EC381F">
        <w:rPr>
          <w:color w:val="000000"/>
        </w:rPr>
        <w:t>nanocapsules</w:t>
      </w:r>
      <w:proofErr w:type="spellEnd"/>
      <w:r w:rsidRPr="00EC381F">
        <w:rPr>
          <w:color w:val="000000"/>
        </w:rPr>
        <w:t xml:space="preserve">) and NC-PGA (PEG-terminated polyelectrolyte </w:t>
      </w:r>
      <w:proofErr w:type="spellStart"/>
      <w:r w:rsidRPr="00EC381F">
        <w:rPr>
          <w:color w:val="000000"/>
        </w:rPr>
        <w:t>nanocapsules</w:t>
      </w:r>
      <w:proofErr w:type="spellEnd"/>
      <w:r w:rsidRPr="00EC381F">
        <w:rPr>
          <w:color w:val="000000"/>
        </w:rPr>
        <w:t>) were administered intravenously to mice. Animals were euthanized on 30</w:t>
      </w:r>
      <w:r w:rsidRPr="00EC381F">
        <w:rPr>
          <w:color w:val="000000"/>
          <w:vertAlign w:val="superscript"/>
        </w:rPr>
        <w:t>th</w:t>
      </w:r>
      <w:r w:rsidRPr="00EC381F">
        <w:rPr>
          <w:color w:val="000000"/>
        </w:rPr>
        <w:t xml:space="preserve"> or 60</w:t>
      </w:r>
      <w:r w:rsidRPr="00EC381F">
        <w:rPr>
          <w:color w:val="000000"/>
          <w:vertAlign w:val="superscript"/>
        </w:rPr>
        <w:t>th</w:t>
      </w:r>
      <w:r w:rsidRPr="00EC381F">
        <w:rPr>
          <w:color w:val="000000"/>
        </w:rPr>
        <w:t xml:space="preserve"> day of experiment and sera and tissues were isolated for further analysis.</w:t>
      </w:r>
    </w:p>
    <w:p w14:paraId="2AEED950" w14:textId="66A417FB" w:rsidR="009B6B20" w:rsidRPr="00EC381F" w:rsidRDefault="00A317FF" w:rsidP="009B6B20">
      <w:pPr>
        <w:rPr>
          <w:rFonts w:cs="Arial"/>
          <w:color w:val="000000"/>
          <w:szCs w:val="20"/>
        </w:rPr>
      </w:pPr>
      <w:r w:rsidRPr="00A317FF">
        <w:rPr>
          <w:rFonts w:cs="Arial"/>
          <w:noProof/>
          <w:color w:val="000000"/>
          <w:szCs w:val="20"/>
        </w:rPr>
        <w:drawing>
          <wp:inline distT="0" distB="0" distL="0" distR="0" wp14:anchorId="004A7FD6" wp14:editId="58E51003">
            <wp:extent cx="4222750" cy="6699885"/>
            <wp:effectExtent l="0" t="0" r="635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2750" cy="6699885"/>
                    </a:xfrm>
                    <a:prstGeom prst="rect">
                      <a:avLst/>
                    </a:prstGeom>
                    <a:noFill/>
                    <a:ln>
                      <a:noFill/>
                    </a:ln>
                  </pic:spPr>
                </pic:pic>
              </a:graphicData>
            </a:graphic>
          </wp:inline>
        </w:drawing>
      </w:r>
      <w:bookmarkStart w:id="0" w:name="_GoBack"/>
      <w:bookmarkEnd w:id="0"/>
    </w:p>
    <w:p w14:paraId="2813914E" w14:textId="77777777" w:rsidR="009B6B20" w:rsidRPr="00EC381F" w:rsidRDefault="009B6B20" w:rsidP="009B6B20">
      <w:pPr>
        <w:rPr>
          <w:rFonts w:cs="Arial"/>
          <w:b/>
          <w:bCs/>
          <w:color w:val="000000"/>
        </w:rPr>
      </w:pPr>
      <w:r w:rsidRPr="00EC381F">
        <w:rPr>
          <w:rFonts w:cs="Arial"/>
          <w:b/>
          <w:bCs/>
          <w:color w:val="000000"/>
        </w:rPr>
        <w:lastRenderedPageBreak/>
        <w:t>Figure S2.</w:t>
      </w:r>
      <w:r w:rsidRPr="00EC381F">
        <w:rPr>
          <w:color w:val="000000"/>
        </w:rPr>
        <w:t xml:space="preserve"> </w:t>
      </w:r>
      <w:r w:rsidRPr="00EC381F">
        <w:rPr>
          <w:rFonts w:cs="Arial"/>
          <w:b/>
          <w:bCs/>
          <w:color w:val="000000"/>
        </w:rPr>
        <w:t>Identification of major routes of NC-PGA-</w:t>
      </w:r>
      <w:proofErr w:type="spellStart"/>
      <w:r w:rsidRPr="00EC381F">
        <w:rPr>
          <w:rFonts w:cs="Arial"/>
          <w:b/>
          <w:bCs/>
          <w:color w:val="000000"/>
        </w:rPr>
        <w:t>RhB</w:t>
      </w:r>
      <w:proofErr w:type="spellEnd"/>
      <w:r w:rsidRPr="00EC381F">
        <w:rPr>
          <w:rFonts w:cs="Arial"/>
          <w:b/>
          <w:bCs/>
          <w:color w:val="000000"/>
        </w:rPr>
        <w:t xml:space="preserve"> and NC-PEG-</w:t>
      </w:r>
      <w:proofErr w:type="spellStart"/>
      <w:r w:rsidRPr="00EC381F">
        <w:rPr>
          <w:rFonts w:cs="Arial"/>
          <w:b/>
          <w:bCs/>
          <w:color w:val="000000"/>
        </w:rPr>
        <w:t>RhB</w:t>
      </w:r>
      <w:proofErr w:type="spellEnd"/>
      <w:r w:rsidRPr="00EC381F">
        <w:rPr>
          <w:rFonts w:cs="Arial"/>
          <w:b/>
          <w:bCs/>
          <w:color w:val="000000"/>
        </w:rPr>
        <w:t xml:space="preserve"> elimination after intravenous administration.</w:t>
      </w:r>
    </w:p>
    <w:p w14:paraId="11BA1C81" w14:textId="77777777" w:rsidR="009B6B20" w:rsidRPr="00EC381F" w:rsidRDefault="009B6B20" w:rsidP="009B6B20">
      <w:pPr>
        <w:rPr>
          <w:color w:val="000000"/>
        </w:rPr>
      </w:pPr>
      <w:r w:rsidRPr="00EC381F">
        <w:rPr>
          <w:rFonts w:cs="Arial"/>
          <w:b/>
          <w:color w:val="000000"/>
          <w:szCs w:val="20"/>
        </w:rPr>
        <w:t>Notes:</w:t>
      </w:r>
      <w:r w:rsidRPr="00EC381F">
        <w:rPr>
          <w:color w:val="000000"/>
        </w:rPr>
        <w:t xml:space="preserve"> Mice were kept individually in metabolic cages. Urine and faces were collected for 24 h. Bile samples were isolated </w:t>
      </w:r>
      <w:proofErr w:type="gramStart"/>
      <w:r w:rsidRPr="00EC381F">
        <w:rPr>
          <w:color w:val="000000"/>
        </w:rPr>
        <w:t>post mortem</w:t>
      </w:r>
      <w:proofErr w:type="gramEnd"/>
      <w:r w:rsidRPr="00EC381F">
        <w:rPr>
          <w:color w:val="000000"/>
        </w:rPr>
        <w:t>. Fluorescence was measured for samples obtained at different time points. Each point represents the mean ± SD (n=2-5). The differences in sample size (n) results from the lack of urine or low bile volume in gall bladder at some time points in the case of some mice.</w:t>
      </w:r>
    </w:p>
    <w:p w14:paraId="2BE43910" w14:textId="77777777" w:rsidR="009B6B20" w:rsidRPr="00EC381F" w:rsidRDefault="009B6B20" w:rsidP="009B6B20">
      <w:pPr>
        <w:rPr>
          <w:rFonts w:ascii="Times New Roman" w:hAnsi="Times New Roman"/>
          <w:color w:val="000000"/>
          <w:sz w:val="24"/>
        </w:rPr>
      </w:pPr>
      <w:r w:rsidRPr="00EC381F">
        <w:rPr>
          <w:rFonts w:ascii="Times New Roman" w:hAnsi="Times New Roman"/>
          <w:noProof/>
          <w:color w:val="000000"/>
          <w:sz w:val="24"/>
        </w:rPr>
        <w:drawing>
          <wp:inline distT="0" distB="0" distL="0" distR="0" wp14:anchorId="626F49BD" wp14:editId="626CB2D9">
            <wp:extent cx="5486400" cy="196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967865"/>
                    </a:xfrm>
                    <a:prstGeom prst="rect">
                      <a:avLst/>
                    </a:prstGeom>
                    <a:noFill/>
                    <a:ln>
                      <a:noFill/>
                    </a:ln>
                  </pic:spPr>
                </pic:pic>
              </a:graphicData>
            </a:graphic>
          </wp:inline>
        </w:drawing>
      </w:r>
    </w:p>
    <w:p w14:paraId="6D6DD721" w14:textId="77777777" w:rsidR="009B6B20" w:rsidRPr="00EC381F" w:rsidRDefault="009B6B20" w:rsidP="009B6B20">
      <w:pPr>
        <w:rPr>
          <w:rFonts w:cs="Arial"/>
          <w:b/>
          <w:bCs/>
          <w:color w:val="000000"/>
        </w:rPr>
      </w:pPr>
      <w:r w:rsidRPr="00EC381F">
        <w:rPr>
          <w:rFonts w:cs="Arial"/>
          <w:b/>
          <w:bCs/>
          <w:color w:val="000000"/>
        </w:rPr>
        <w:t>Figure S3.</w:t>
      </w:r>
      <w:r w:rsidRPr="00EC381F">
        <w:rPr>
          <w:color w:val="000000"/>
        </w:rPr>
        <w:t xml:space="preserve"> </w:t>
      </w:r>
      <w:r w:rsidRPr="00EC381F">
        <w:rPr>
          <w:rFonts w:cs="Arial"/>
          <w:b/>
          <w:bCs/>
          <w:color w:val="000000"/>
        </w:rPr>
        <w:t xml:space="preserve">Determination of organ to body mass index for animals injected with a single dose or with multiple doses of polyelectrolyte </w:t>
      </w:r>
      <w:proofErr w:type="spellStart"/>
      <w:r w:rsidRPr="00EC381F">
        <w:rPr>
          <w:rFonts w:cs="Arial"/>
          <w:b/>
          <w:bCs/>
          <w:color w:val="000000"/>
        </w:rPr>
        <w:t>nanocapsules</w:t>
      </w:r>
      <w:proofErr w:type="spellEnd"/>
      <w:r w:rsidRPr="00EC381F">
        <w:rPr>
          <w:rFonts w:cs="Arial"/>
          <w:b/>
          <w:bCs/>
          <w:color w:val="000000"/>
        </w:rPr>
        <w:t>.</w:t>
      </w:r>
    </w:p>
    <w:p w14:paraId="29E2EF4C" w14:textId="77777777" w:rsidR="009B6B20" w:rsidRPr="00EC381F" w:rsidRDefault="009B6B20" w:rsidP="009B6B20">
      <w:pPr>
        <w:rPr>
          <w:color w:val="000000"/>
        </w:rPr>
      </w:pPr>
      <w:r w:rsidRPr="00EC381F">
        <w:rPr>
          <w:rFonts w:cs="Arial"/>
          <w:b/>
          <w:color w:val="000000"/>
          <w:szCs w:val="20"/>
        </w:rPr>
        <w:t>Notes:</w:t>
      </w:r>
      <w:r w:rsidRPr="00EC381F">
        <w:rPr>
          <w:color w:val="000000"/>
        </w:rPr>
        <w:t xml:space="preserve"> Animals were injected with 15 mM NaCl, NC-PGA, or NC-PEG. Calculations were performed according to the following formula: organ/body mass index = organ mass/body mass. Bars represent means ± SD (n=5).</w:t>
      </w:r>
    </w:p>
    <w:p w14:paraId="0202F614" w14:textId="77777777" w:rsidR="009B6B20" w:rsidRPr="00EC381F" w:rsidRDefault="009B6B20" w:rsidP="009B6B20">
      <w:pPr>
        <w:rPr>
          <w:color w:val="000000"/>
        </w:rPr>
      </w:pPr>
      <w:r w:rsidRPr="00EC381F">
        <w:rPr>
          <w:rFonts w:ascii="Times New Roman" w:hAnsi="Times New Roman"/>
          <w:noProof/>
          <w:color w:val="000000"/>
          <w:sz w:val="24"/>
        </w:rPr>
        <w:drawing>
          <wp:inline distT="0" distB="0" distL="0" distR="0" wp14:anchorId="7F160AD7" wp14:editId="0BAADC69">
            <wp:extent cx="5162550" cy="2143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2143125"/>
                    </a:xfrm>
                    <a:prstGeom prst="rect">
                      <a:avLst/>
                    </a:prstGeom>
                    <a:noFill/>
                    <a:ln>
                      <a:noFill/>
                    </a:ln>
                  </pic:spPr>
                </pic:pic>
              </a:graphicData>
            </a:graphic>
          </wp:inline>
        </w:drawing>
      </w:r>
    </w:p>
    <w:p w14:paraId="46A70AF9" w14:textId="77777777" w:rsidR="009B6B20" w:rsidRPr="00EC381F" w:rsidRDefault="009B6B20" w:rsidP="009B6B20">
      <w:pPr>
        <w:rPr>
          <w:rFonts w:cs="Arial"/>
          <w:b/>
          <w:bCs/>
          <w:color w:val="000000"/>
        </w:rPr>
      </w:pPr>
      <w:r w:rsidRPr="00EC381F">
        <w:rPr>
          <w:rFonts w:cs="Arial"/>
          <w:b/>
          <w:bCs/>
          <w:color w:val="000000"/>
        </w:rPr>
        <w:lastRenderedPageBreak/>
        <w:t>Figure S4.</w:t>
      </w:r>
      <w:r w:rsidRPr="00EC381F">
        <w:rPr>
          <w:color w:val="000000"/>
        </w:rPr>
        <w:t xml:space="preserve"> </w:t>
      </w:r>
      <w:r w:rsidRPr="00EC381F">
        <w:rPr>
          <w:rFonts w:cs="Arial"/>
          <w:b/>
          <w:bCs/>
          <w:color w:val="000000"/>
        </w:rPr>
        <w:t>Analysis of DNA damage in peritoneal macrophages or in cells isolated from bone marrow of animals exposed to a single dose of NC-PEG.</w:t>
      </w:r>
    </w:p>
    <w:p w14:paraId="115CC4A9" w14:textId="77777777" w:rsidR="009B6B20" w:rsidRPr="00EC381F" w:rsidRDefault="009B6B20" w:rsidP="009B6B20">
      <w:pPr>
        <w:rPr>
          <w:color w:val="000000"/>
        </w:rPr>
      </w:pPr>
      <w:r w:rsidRPr="00EC381F">
        <w:rPr>
          <w:rFonts w:cs="Arial"/>
          <w:b/>
          <w:color w:val="000000"/>
          <w:szCs w:val="20"/>
        </w:rPr>
        <w:t>Notes:</w:t>
      </w:r>
      <w:r w:rsidRPr="00EC381F">
        <w:rPr>
          <w:color w:val="000000"/>
        </w:rPr>
        <w:t xml:space="preserve"> Analysis was performed using comet assay. Animals were sacrificed on 1</w:t>
      </w:r>
      <w:r w:rsidRPr="00EC381F">
        <w:rPr>
          <w:color w:val="000000"/>
          <w:vertAlign w:val="superscript"/>
        </w:rPr>
        <w:t>st</w:t>
      </w:r>
      <w:r w:rsidRPr="00EC381F">
        <w:rPr>
          <w:color w:val="000000"/>
        </w:rPr>
        <w:t>, 7</w:t>
      </w:r>
      <w:r w:rsidRPr="00EC381F">
        <w:rPr>
          <w:color w:val="000000"/>
          <w:vertAlign w:val="superscript"/>
        </w:rPr>
        <w:t>th</w:t>
      </w:r>
      <w:r w:rsidRPr="00EC381F">
        <w:rPr>
          <w:color w:val="000000"/>
        </w:rPr>
        <w:t xml:space="preserve"> or 60</w:t>
      </w:r>
      <w:r w:rsidRPr="00EC381F">
        <w:rPr>
          <w:color w:val="000000"/>
          <w:vertAlign w:val="superscript"/>
        </w:rPr>
        <w:t>th</w:t>
      </w:r>
      <w:r w:rsidRPr="00EC381F">
        <w:rPr>
          <w:color w:val="000000"/>
        </w:rPr>
        <w:t xml:space="preserve"> day of experiment. The percentage of DNA in the comet tail (% DNA damage) was determined from two slides per sample with 50 randomly selected cells per slide. Each point represents an individual mouse (n=3).</w:t>
      </w:r>
    </w:p>
    <w:p w14:paraId="2EF1357A" w14:textId="77777777" w:rsidR="009B6B20" w:rsidRPr="00EC381F" w:rsidRDefault="009B6B20" w:rsidP="009B6B20">
      <w:pPr>
        <w:rPr>
          <w:color w:val="000000"/>
        </w:rPr>
      </w:pPr>
      <w:r w:rsidRPr="00EC381F">
        <w:rPr>
          <w:rFonts w:ascii="Times New Roman" w:hAnsi="Times New Roman"/>
          <w:noProof/>
          <w:color w:val="000000"/>
          <w:sz w:val="24"/>
        </w:rPr>
        <w:drawing>
          <wp:inline distT="0" distB="0" distL="0" distR="0" wp14:anchorId="34D656D3" wp14:editId="1DCDBCB6">
            <wp:extent cx="5486400" cy="299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990850"/>
                    </a:xfrm>
                    <a:prstGeom prst="rect">
                      <a:avLst/>
                    </a:prstGeom>
                    <a:noFill/>
                    <a:ln>
                      <a:noFill/>
                    </a:ln>
                  </pic:spPr>
                </pic:pic>
              </a:graphicData>
            </a:graphic>
          </wp:inline>
        </w:drawing>
      </w:r>
    </w:p>
    <w:p w14:paraId="769D57FE" w14:textId="77777777" w:rsidR="009B6B20" w:rsidRPr="00EC381F" w:rsidRDefault="009B6B20" w:rsidP="009B6B20">
      <w:pPr>
        <w:rPr>
          <w:rFonts w:cs="Arial"/>
          <w:b/>
          <w:bCs/>
          <w:color w:val="000000"/>
        </w:rPr>
      </w:pPr>
      <w:r w:rsidRPr="00EC381F">
        <w:rPr>
          <w:rFonts w:cs="Arial"/>
          <w:b/>
          <w:bCs/>
          <w:color w:val="000000"/>
        </w:rPr>
        <w:t>Figure S5.</w:t>
      </w:r>
      <w:r w:rsidRPr="00EC381F">
        <w:rPr>
          <w:color w:val="000000"/>
        </w:rPr>
        <w:t xml:space="preserve"> </w:t>
      </w:r>
      <w:r w:rsidRPr="00EC381F">
        <w:rPr>
          <w:rFonts w:cs="Arial"/>
          <w:b/>
          <w:bCs/>
          <w:color w:val="000000"/>
        </w:rPr>
        <w:t>Biochemical analysis of sera from animals after single administration of NC-PEG.</w:t>
      </w:r>
    </w:p>
    <w:p w14:paraId="0D45A0D7" w14:textId="77777777" w:rsidR="009B6B20" w:rsidRPr="00EC381F" w:rsidRDefault="009B6B20" w:rsidP="009B6B20">
      <w:pPr>
        <w:rPr>
          <w:color w:val="000000"/>
        </w:rPr>
      </w:pPr>
      <w:r w:rsidRPr="00EC381F">
        <w:rPr>
          <w:rFonts w:cs="Arial"/>
          <w:b/>
          <w:color w:val="000000"/>
          <w:szCs w:val="20"/>
        </w:rPr>
        <w:t>Notes:</w:t>
      </w:r>
      <w:r w:rsidRPr="00EC381F">
        <w:rPr>
          <w:color w:val="000000"/>
        </w:rPr>
        <w:t xml:space="preserve"> Animals were euthanized on 1</w:t>
      </w:r>
      <w:r w:rsidRPr="00EC381F">
        <w:rPr>
          <w:color w:val="000000"/>
          <w:vertAlign w:val="superscript"/>
        </w:rPr>
        <w:t>st</w:t>
      </w:r>
      <w:r w:rsidRPr="00EC381F">
        <w:rPr>
          <w:color w:val="000000"/>
        </w:rPr>
        <w:t>, 7</w:t>
      </w:r>
      <w:r w:rsidRPr="00EC381F">
        <w:rPr>
          <w:color w:val="000000"/>
          <w:vertAlign w:val="superscript"/>
        </w:rPr>
        <w:t>th</w:t>
      </w:r>
      <w:r w:rsidRPr="00EC381F">
        <w:rPr>
          <w:color w:val="000000"/>
        </w:rPr>
        <w:t>, 30</w:t>
      </w:r>
      <w:r w:rsidRPr="00EC381F">
        <w:rPr>
          <w:color w:val="000000"/>
          <w:vertAlign w:val="superscript"/>
        </w:rPr>
        <w:t>th</w:t>
      </w:r>
      <w:r w:rsidRPr="00EC381F">
        <w:rPr>
          <w:color w:val="000000"/>
        </w:rPr>
        <w:t xml:space="preserve"> or 60</w:t>
      </w:r>
      <w:r w:rsidRPr="00EC381F">
        <w:rPr>
          <w:color w:val="000000"/>
          <w:vertAlign w:val="superscript"/>
        </w:rPr>
        <w:t>th</w:t>
      </w:r>
      <w:r w:rsidRPr="00EC381F">
        <w:rPr>
          <w:color w:val="000000"/>
        </w:rPr>
        <w:t xml:space="preserve"> day of experiment. Blood was isolated by cardiac puncture and biochemical markers of hepatotoxicity and nephrotoxicity were analyzed labeled in sera. Each point in graphs represents an individual mouse. The line for each group represents the mean ± SD (n=5).</w:t>
      </w:r>
    </w:p>
    <w:p w14:paraId="43380B6E" w14:textId="77777777" w:rsidR="009B6B20" w:rsidRPr="00EC381F" w:rsidRDefault="009B6B20" w:rsidP="009B6B20">
      <w:pPr>
        <w:rPr>
          <w:color w:val="000000"/>
        </w:rPr>
      </w:pPr>
      <w:r w:rsidRPr="00EC381F">
        <w:rPr>
          <w:rFonts w:ascii="Times New Roman" w:hAnsi="Times New Roman"/>
          <w:noProof/>
          <w:color w:val="000000"/>
          <w:sz w:val="24"/>
        </w:rPr>
        <w:lastRenderedPageBreak/>
        <w:drawing>
          <wp:inline distT="0" distB="0" distL="0" distR="0" wp14:anchorId="78CD66B5" wp14:editId="7AEA30BA">
            <wp:extent cx="5486400" cy="19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949450"/>
                    </a:xfrm>
                    <a:prstGeom prst="rect">
                      <a:avLst/>
                    </a:prstGeom>
                    <a:noFill/>
                    <a:ln>
                      <a:noFill/>
                    </a:ln>
                  </pic:spPr>
                </pic:pic>
              </a:graphicData>
            </a:graphic>
          </wp:inline>
        </w:drawing>
      </w:r>
    </w:p>
    <w:p w14:paraId="581B650F" w14:textId="77777777" w:rsidR="009B6B20" w:rsidRPr="00EC381F" w:rsidRDefault="009B6B20" w:rsidP="009B6B20">
      <w:pPr>
        <w:rPr>
          <w:rFonts w:cs="Arial"/>
          <w:b/>
          <w:bCs/>
          <w:color w:val="000000"/>
        </w:rPr>
      </w:pPr>
      <w:r w:rsidRPr="00EC381F">
        <w:rPr>
          <w:rFonts w:cs="Arial"/>
          <w:b/>
          <w:bCs/>
          <w:color w:val="000000"/>
        </w:rPr>
        <w:t>Figure S6.</w:t>
      </w:r>
      <w:r w:rsidRPr="00EC381F">
        <w:rPr>
          <w:color w:val="000000"/>
        </w:rPr>
        <w:t xml:space="preserve"> </w:t>
      </w:r>
      <w:r w:rsidRPr="00EC381F">
        <w:rPr>
          <w:rFonts w:cs="Arial"/>
          <w:b/>
          <w:bCs/>
          <w:color w:val="000000"/>
        </w:rPr>
        <w:t xml:space="preserve">Analysis of cytokine concentrations in mice sera after single administration of NC-PEG. </w:t>
      </w:r>
    </w:p>
    <w:p w14:paraId="2E00D215" w14:textId="77777777" w:rsidR="009B6B20" w:rsidRPr="00EC381F" w:rsidRDefault="009B6B20" w:rsidP="009B6B20">
      <w:pPr>
        <w:rPr>
          <w:color w:val="000000"/>
        </w:rPr>
      </w:pPr>
      <w:r w:rsidRPr="00EC381F">
        <w:rPr>
          <w:rFonts w:cs="Arial"/>
          <w:b/>
          <w:color w:val="000000"/>
          <w:szCs w:val="20"/>
        </w:rPr>
        <w:t>Notes:</w:t>
      </w:r>
      <w:r w:rsidRPr="00EC381F">
        <w:rPr>
          <w:color w:val="000000"/>
        </w:rPr>
        <w:t xml:space="preserve"> Mice were injected intravenously with a single dose of 15 mM NaCl (control) or NC-PEG. Cytokine concentrations in sera isolated on 1</w:t>
      </w:r>
      <w:r w:rsidRPr="00EC381F">
        <w:rPr>
          <w:color w:val="000000"/>
          <w:vertAlign w:val="superscript"/>
        </w:rPr>
        <w:t>st</w:t>
      </w:r>
      <w:r w:rsidRPr="00EC381F">
        <w:rPr>
          <w:color w:val="000000"/>
        </w:rPr>
        <w:t>, 7</w:t>
      </w:r>
      <w:r w:rsidRPr="00EC381F">
        <w:rPr>
          <w:color w:val="000000"/>
          <w:vertAlign w:val="superscript"/>
        </w:rPr>
        <w:t>th</w:t>
      </w:r>
      <w:r w:rsidRPr="00EC381F">
        <w:rPr>
          <w:color w:val="000000"/>
        </w:rPr>
        <w:t>, 30</w:t>
      </w:r>
      <w:r w:rsidRPr="00EC381F">
        <w:rPr>
          <w:color w:val="000000"/>
          <w:vertAlign w:val="superscript"/>
        </w:rPr>
        <w:t>th</w:t>
      </w:r>
      <w:r w:rsidRPr="00EC381F">
        <w:rPr>
          <w:color w:val="000000"/>
        </w:rPr>
        <w:t xml:space="preserve"> or 60</w:t>
      </w:r>
      <w:r w:rsidRPr="00EC381F">
        <w:rPr>
          <w:color w:val="000000"/>
          <w:vertAlign w:val="superscript"/>
        </w:rPr>
        <w:t>th</w:t>
      </w:r>
      <w:r w:rsidRPr="00EC381F">
        <w:rPr>
          <w:color w:val="000000"/>
        </w:rPr>
        <w:t xml:space="preserve"> day of experiment were determined using </w:t>
      </w:r>
      <w:proofErr w:type="spellStart"/>
      <w:r w:rsidRPr="00EC381F">
        <w:rPr>
          <w:color w:val="000000"/>
        </w:rPr>
        <w:t>LEGENDplex</w:t>
      </w:r>
      <w:proofErr w:type="spellEnd"/>
      <w:r w:rsidRPr="00EC381F">
        <w:rPr>
          <w:color w:val="000000"/>
        </w:rPr>
        <w:t xml:space="preserve"> Mouse inflammation Panel kit and the BD </w:t>
      </w:r>
      <w:proofErr w:type="spellStart"/>
      <w:r w:rsidRPr="00EC381F">
        <w:rPr>
          <w:color w:val="000000"/>
        </w:rPr>
        <w:t>LSRFortessa</w:t>
      </w:r>
      <w:proofErr w:type="spellEnd"/>
      <w:r w:rsidRPr="00EC381F">
        <w:rPr>
          <w:color w:val="000000"/>
        </w:rPr>
        <w:t xml:space="preserve"> flow cytometer. Control level corresponds to cytokine concentrations in sera of animals injected with 15 mM NaCl. Bars represent means ± SD (n=5).</w:t>
      </w:r>
    </w:p>
    <w:p w14:paraId="70883D1A" w14:textId="77777777" w:rsidR="00A97A99" w:rsidRDefault="00A97A99"/>
    <w:sectPr w:rsidR="00A97A99" w:rsidSect="00F82795">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6891" w14:textId="77777777" w:rsidR="00000000" w:rsidRDefault="00A317FF">
      <w:pPr>
        <w:spacing w:line="240" w:lineRule="auto"/>
      </w:pPr>
      <w:r>
        <w:separator/>
      </w:r>
    </w:p>
  </w:endnote>
  <w:endnote w:type="continuationSeparator" w:id="0">
    <w:p w14:paraId="0C7ECE91" w14:textId="77777777" w:rsidR="00000000" w:rsidRDefault="00A31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77D2" w14:textId="77777777" w:rsidR="00AB0FDC" w:rsidRDefault="009B6B20"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90765A" w14:textId="77777777" w:rsidR="00AB0FDC" w:rsidRDefault="00A31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5FA05" w14:textId="77777777" w:rsidR="00AB0FDC" w:rsidRDefault="009B6B20"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75D5879A" w14:textId="77777777" w:rsidR="00AB0FDC" w:rsidRDefault="00A31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C3CE5" w14:textId="77777777" w:rsidR="00000000" w:rsidRDefault="00A317FF">
      <w:pPr>
        <w:spacing w:line="240" w:lineRule="auto"/>
      </w:pPr>
      <w:r>
        <w:separator/>
      </w:r>
    </w:p>
  </w:footnote>
  <w:footnote w:type="continuationSeparator" w:id="0">
    <w:p w14:paraId="07A100C3" w14:textId="77777777" w:rsidR="00000000" w:rsidRDefault="00A317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20"/>
    <w:rsid w:val="009B6B20"/>
    <w:rsid w:val="00A317FF"/>
    <w:rsid w:val="00A97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0161"/>
  <w15:chartTrackingRefBased/>
  <w15:docId w15:val="{116F05B4-F9DB-4C80-98AC-37565F78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20"/>
    <w:pPr>
      <w:spacing w:after="0" w:line="480" w:lineRule="auto"/>
    </w:pPr>
    <w:rPr>
      <w:rFonts w:ascii="Arial" w:eastAsia="Times New Roman" w:hAnsi="Arial" w:cs="Times New Roman"/>
      <w:sz w:val="20"/>
      <w:szCs w:val="24"/>
      <w:lang w:val="en-US"/>
    </w:rPr>
  </w:style>
  <w:style w:type="paragraph" w:styleId="Heading1">
    <w:name w:val="heading 1"/>
    <w:basedOn w:val="Normal"/>
    <w:next w:val="Normal"/>
    <w:link w:val="Heading1Char"/>
    <w:qFormat/>
    <w:rsid w:val="009B6B20"/>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B20"/>
    <w:rPr>
      <w:rFonts w:ascii="Arial" w:eastAsia="Times New Roman" w:hAnsi="Arial" w:cs="Arial"/>
      <w:b/>
      <w:bCs/>
      <w:kern w:val="32"/>
      <w:sz w:val="32"/>
      <w:szCs w:val="32"/>
      <w:lang w:val="en-US"/>
    </w:rPr>
  </w:style>
  <w:style w:type="paragraph" w:styleId="Footer">
    <w:name w:val="footer"/>
    <w:basedOn w:val="Normal"/>
    <w:link w:val="FooterChar"/>
    <w:rsid w:val="009B6B20"/>
    <w:pPr>
      <w:tabs>
        <w:tab w:val="center" w:pos="4320"/>
        <w:tab w:val="right" w:pos="8640"/>
      </w:tabs>
    </w:pPr>
  </w:style>
  <w:style w:type="character" w:customStyle="1" w:styleId="FooterChar">
    <w:name w:val="Footer Char"/>
    <w:basedOn w:val="DefaultParagraphFont"/>
    <w:link w:val="Footer"/>
    <w:rsid w:val="009B6B20"/>
    <w:rPr>
      <w:rFonts w:ascii="Arial" w:eastAsia="Times New Roman" w:hAnsi="Arial" w:cs="Times New Roman"/>
      <w:sz w:val="20"/>
      <w:szCs w:val="24"/>
      <w:lang w:val="en-US"/>
    </w:rPr>
  </w:style>
  <w:style w:type="character" w:styleId="PageNumber">
    <w:name w:val="page number"/>
    <w:basedOn w:val="DefaultParagraphFont"/>
    <w:rsid w:val="009B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Faamoana, Richard</dc:creator>
  <cp:keywords/>
  <dc:description/>
  <cp:lastModifiedBy>Mel Phimester</cp:lastModifiedBy>
  <cp:revision>2</cp:revision>
  <dcterms:created xsi:type="dcterms:W3CDTF">2019-11-19T01:40:00Z</dcterms:created>
  <dcterms:modified xsi:type="dcterms:W3CDTF">2019-11-19T01:40:00Z</dcterms:modified>
</cp:coreProperties>
</file>