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1FABC" w14:textId="77777777" w:rsidR="00AE36AE" w:rsidRPr="00F35E92" w:rsidRDefault="00DC2CC6" w:rsidP="00B5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F35E92">
        <w:rPr>
          <w:b/>
          <w:bCs/>
          <w:sz w:val="32"/>
          <w:szCs w:val="32"/>
        </w:rPr>
        <w:t xml:space="preserve">SUPPLEMENTARY INFORMATION </w:t>
      </w:r>
    </w:p>
    <w:p w14:paraId="462CBA77" w14:textId="77777777" w:rsidR="00AE36AE" w:rsidRPr="00F35E92" w:rsidRDefault="00AE36AE" w:rsidP="00F7396E">
      <w:pPr>
        <w:rPr>
          <w:bCs/>
          <w:i/>
          <w:u w:val="single"/>
        </w:rPr>
      </w:pPr>
    </w:p>
    <w:p w14:paraId="0D241FAD" w14:textId="7B6439F5" w:rsidR="007B5F9E" w:rsidRDefault="007B5F9E" w:rsidP="007B5F9E">
      <w:pPr>
        <w:jc w:val="center"/>
        <w:rPr>
          <w:rFonts w:eastAsiaTheme="minorHAnsi"/>
          <w:b/>
          <w:sz w:val="32"/>
          <w:szCs w:val="32"/>
          <w:lang w:val="en-US" w:eastAsia="en-US"/>
        </w:rPr>
      </w:pPr>
      <w:r w:rsidRPr="007B5F9E">
        <w:rPr>
          <w:rFonts w:eastAsiaTheme="minorHAnsi"/>
          <w:b/>
          <w:sz w:val="32"/>
          <w:szCs w:val="32"/>
          <w:lang w:val="en-US" w:eastAsia="en-US"/>
        </w:rPr>
        <w:t>High suPAR and low blood eosinophil count are risk factors for hospital admission and mortality in patients with COPD</w:t>
      </w:r>
    </w:p>
    <w:p w14:paraId="4FE766EC" w14:textId="77777777" w:rsidR="007B5F9E" w:rsidRDefault="007B5F9E" w:rsidP="003C5B20">
      <w:pPr>
        <w:rPr>
          <w:rFonts w:eastAsiaTheme="minorHAnsi"/>
          <w:b/>
          <w:sz w:val="32"/>
          <w:szCs w:val="32"/>
          <w:lang w:val="en-US" w:eastAsia="en-US"/>
        </w:rPr>
      </w:pPr>
    </w:p>
    <w:p w14:paraId="6CB5BBFC" w14:textId="3DDFDB28" w:rsidR="003C5B20" w:rsidRPr="00F35E92" w:rsidRDefault="003C5B20" w:rsidP="003C5B20">
      <w:pPr>
        <w:rPr>
          <w:b/>
          <w:lang w:val="da-DK"/>
        </w:rPr>
      </w:pPr>
      <w:r w:rsidRPr="00F35E92">
        <w:rPr>
          <w:b/>
          <w:lang w:val="da-DK"/>
        </w:rPr>
        <w:t>Kjell E. J. Håkansson</w:t>
      </w:r>
      <w:r w:rsidRPr="00F35E92">
        <w:rPr>
          <w:b/>
          <w:vertAlign w:val="superscript"/>
          <w:lang w:val="da-DK"/>
        </w:rPr>
        <w:t>1</w:t>
      </w:r>
      <w:r w:rsidRPr="00F35E92">
        <w:rPr>
          <w:b/>
          <w:lang w:val="da-DK"/>
        </w:rPr>
        <w:t>, Charlotte S. Ulrik</w:t>
      </w:r>
      <w:r w:rsidRPr="00F35E92">
        <w:rPr>
          <w:b/>
          <w:vertAlign w:val="superscript"/>
          <w:lang w:val="da-DK"/>
        </w:rPr>
        <w:t>1,2</w:t>
      </w:r>
      <w:r w:rsidRPr="00F35E92">
        <w:rPr>
          <w:b/>
          <w:lang w:val="da-DK"/>
        </w:rPr>
        <w:t>, Nina S. Godtfredsen</w:t>
      </w:r>
      <w:r w:rsidRPr="00F35E92">
        <w:rPr>
          <w:b/>
          <w:vertAlign w:val="superscript"/>
          <w:lang w:val="da-DK"/>
        </w:rPr>
        <w:t>1,2</w:t>
      </w:r>
      <w:r w:rsidRPr="00F35E92">
        <w:rPr>
          <w:b/>
          <w:lang w:val="da-DK"/>
        </w:rPr>
        <w:t>, Thomas Kallemose</w:t>
      </w:r>
      <w:r w:rsidRPr="00F35E92">
        <w:rPr>
          <w:b/>
          <w:vertAlign w:val="superscript"/>
          <w:lang w:val="da-DK"/>
        </w:rPr>
        <w:t>3</w:t>
      </w:r>
      <w:r w:rsidRPr="00F35E92">
        <w:rPr>
          <w:b/>
          <w:lang w:val="da-DK"/>
        </w:rPr>
        <w:t>, Ove Andersen</w:t>
      </w:r>
      <w:r w:rsidRPr="00F35E92">
        <w:rPr>
          <w:b/>
          <w:vertAlign w:val="superscript"/>
          <w:lang w:val="da-DK"/>
        </w:rPr>
        <w:t>2,3,4</w:t>
      </w:r>
      <w:r w:rsidRPr="00F35E92">
        <w:rPr>
          <w:b/>
          <w:lang w:val="da-DK"/>
        </w:rPr>
        <w:t>, Jesper Eugen-Olsen</w:t>
      </w:r>
      <w:r w:rsidRPr="00F35E92">
        <w:rPr>
          <w:b/>
          <w:vertAlign w:val="superscript"/>
          <w:lang w:val="da-DK"/>
        </w:rPr>
        <w:t>3</w:t>
      </w:r>
      <w:r w:rsidRPr="00F35E92">
        <w:rPr>
          <w:b/>
          <w:lang w:val="da-DK"/>
        </w:rPr>
        <w:t>, Kristoffer Marsaa</w:t>
      </w:r>
      <w:r w:rsidRPr="00F35E92">
        <w:rPr>
          <w:b/>
          <w:vertAlign w:val="superscript"/>
          <w:lang w:val="da-DK"/>
        </w:rPr>
        <w:t>5</w:t>
      </w:r>
      <w:r w:rsidRPr="00F35E92">
        <w:rPr>
          <w:b/>
          <w:lang w:val="da-DK"/>
        </w:rPr>
        <w:t>, Line J. H. Rasmussen</w:t>
      </w:r>
      <w:r w:rsidRPr="00F35E92">
        <w:rPr>
          <w:b/>
          <w:vertAlign w:val="superscript"/>
          <w:lang w:val="da-DK"/>
        </w:rPr>
        <w:t>3,6</w:t>
      </w:r>
    </w:p>
    <w:p w14:paraId="12F9B227" w14:textId="77777777" w:rsidR="0083380D" w:rsidRPr="00F35E92" w:rsidRDefault="0083380D" w:rsidP="009A7B43">
      <w:pPr>
        <w:rPr>
          <w:lang w:val="da-DK"/>
        </w:rPr>
      </w:pPr>
    </w:p>
    <w:p w14:paraId="10344289" w14:textId="77777777" w:rsidR="003C5B20" w:rsidRPr="00F35E92" w:rsidRDefault="003C5B20" w:rsidP="003C5B20">
      <w:pPr>
        <w:pStyle w:val="Ingenafstand"/>
        <w:spacing w:line="276" w:lineRule="auto"/>
      </w:pPr>
      <w:r w:rsidRPr="00F35E92">
        <w:rPr>
          <w:vertAlign w:val="superscript"/>
        </w:rPr>
        <w:t>1</w:t>
      </w:r>
      <w:r w:rsidRPr="00F35E92">
        <w:t>Department of Respiratory Medicine, Copenhagen University Hospital Amager and Hvidovre, Hvidovre, Denmark</w:t>
      </w:r>
    </w:p>
    <w:p w14:paraId="3FE9365F" w14:textId="77777777" w:rsidR="003C5B20" w:rsidRPr="00F35E92" w:rsidRDefault="003C5B20" w:rsidP="003C5B20">
      <w:pPr>
        <w:pStyle w:val="Ingenafstand"/>
        <w:spacing w:line="276" w:lineRule="auto"/>
      </w:pPr>
      <w:r w:rsidRPr="00F35E92">
        <w:rPr>
          <w:vertAlign w:val="superscript"/>
        </w:rPr>
        <w:t>2</w:t>
      </w:r>
      <w:r w:rsidRPr="00F35E92">
        <w:t>Institute of Clinical Medicine, University of Copenhagen, Copenhagen, Denmark</w:t>
      </w:r>
    </w:p>
    <w:p w14:paraId="70D7A19E" w14:textId="77777777" w:rsidR="003C5B20" w:rsidRPr="00F35E92" w:rsidRDefault="003C5B20" w:rsidP="003C5B20">
      <w:pPr>
        <w:pStyle w:val="Ingenafstand"/>
        <w:spacing w:line="276" w:lineRule="auto"/>
      </w:pPr>
      <w:r w:rsidRPr="00F35E92">
        <w:rPr>
          <w:vertAlign w:val="superscript"/>
        </w:rPr>
        <w:t>3</w:t>
      </w:r>
      <w:r w:rsidRPr="00F35E92">
        <w:t>Clinical Research Centre, Copenhagen University Hospital Amager and Hvidovre, Hvidovre, Denmark</w:t>
      </w:r>
    </w:p>
    <w:p w14:paraId="1B6012B4" w14:textId="77777777" w:rsidR="003C5B20" w:rsidRPr="00F35E92" w:rsidRDefault="003C5B20" w:rsidP="003C5B20">
      <w:pPr>
        <w:pStyle w:val="Ingenafstand"/>
        <w:spacing w:line="276" w:lineRule="auto"/>
      </w:pPr>
      <w:r w:rsidRPr="00F35E92">
        <w:rPr>
          <w:vertAlign w:val="superscript"/>
        </w:rPr>
        <w:t>4</w:t>
      </w:r>
      <w:r w:rsidRPr="00F35E92">
        <w:t>Emergency Department, Copenhagen University Hospital Amager and Hvidovre, Hvidovre, Denmark</w:t>
      </w:r>
    </w:p>
    <w:p w14:paraId="4FBA30DF" w14:textId="77777777" w:rsidR="003C5B20" w:rsidRPr="00F35E92" w:rsidRDefault="003C5B20" w:rsidP="003C5B20">
      <w:pPr>
        <w:pStyle w:val="Ingenafstand"/>
        <w:spacing w:line="276" w:lineRule="auto"/>
        <w:rPr>
          <w:lang w:val="da-DK"/>
        </w:rPr>
      </w:pPr>
      <w:r w:rsidRPr="00F35E92">
        <w:rPr>
          <w:vertAlign w:val="superscript"/>
          <w:lang w:val="da-DK"/>
        </w:rPr>
        <w:t>5</w:t>
      </w:r>
      <w:r w:rsidRPr="00F35E92">
        <w:rPr>
          <w:lang w:val="da-DK"/>
        </w:rPr>
        <w:t>Palliative Unit, Copenhagen University Hospital Herlev and Gentofte, Herlev, Denmark</w:t>
      </w:r>
    </w:p>
    <w:p w14:paraId="34F1BEAB" w14:textId="77777777" w:rsidR="003C5B20" w:rsidRPr="00F35E92" w:rsidRDefault="003C5B20" w:rsidP="003C5B20">
      <w:pPr>
        <w:pStyle w:val="Ingenafstand"/>
        <w:spacing w:line="276" w:lineRule="auto"/>
      </w:pPr>
      <w:r w:rsidRPr="00F35E92">
        <w:rPr>
          <w:vertAlign w:val="superscript"/>
        </w:rPr>
        <w:t>6</w:t>
      </w:r>
      <w:r w:rsidRPr="00F35E92">
        <w:t>Department of Psychology and Neuroscience, Duke University, Durham, NC, USA</w:t>
      </w:r>
    </w:p>
    <w:p w14:paraId="392C6FED" w14:textId="77777777" w:rsidR="003C5B20" w:rsidRPr="00F35E92" w:rsidRDefault="003C5B20" w:rsidP="009A7B43">
      <w:pPr>
        <w:outlineLvl w:val="0"/>
        <w:rPr>
          <w:bCs/>
          <w:i/>
        </w:rPr>
        <w:sectPr w:rsidR="003C5B20" w:rsidRPr="00F35E92" w:rsidSect="00F7396E">
          <w:headerReference w:type="first" r:id="rId7"/>
          <w:pgSz w:w="11907" w:h="16840" w:code="9"/>
          <w:pgMar w:top="1440" w:right="1440" w:bottom="1440" w:left="1440" w:header="709" w:footer="709" w:gutter="0"/>
          <w:paperSrc w:first="262" w:other="262"/>
          <w:cols w:space="708"/>
          <w:titlePg/>
          <w:docGrid w:linePitch="360"/>
        </w:sectPr>
      </w:pPr>
    </w:p>
    <w:p w14:paraId="75FAE016" w14:textId="27290BA7" w:rsidR="00280DAA" w:rsidRPr="00F35E92" w:rsidRDefault="00DC2CC6" w:rsidP="009A7B43">
      <w:pPr>
        <w:outlineLvl w:val="0"/>
        <w:rPr>
          <w:bCs/>
          <w:i/>
        </w:rPr>
      </w:pPr>
      <w:r w:rsidRPr="00F35E92">
        <w:rPr>
          <w:b/>
          <w:bCs/>
        </w:rPr>
        <w:lastRenderedPageBreak/>
        <w:t>Figure S</w:t>
      </w:r>
      <w:r w:rsidR="00F90F39" w:rsidRPr="00F35E92">
        <w:rPr>
          <w:b/>
          <w:bCs/>
        </w:rPr>
        <w:t>1</w:t>
      </w:r>
      <w:r w:rsidRPr="00F35E92">
        <w:rPr>
          <w:bCs/>
          <w:i/>
        </w:rPr>
        <w:t xml:space="preserve">- </w:t>
      </w:r>
      <w:r w:rsidR="003C5B20" w:rsidRPr="00F35E92">
        <w:rPr>
          <w:bCs/>
          <w:i/>
        </w:rPr>
        <w:t>AUC-graph for suPAR</w:t>
      </w:r>
      <w:r w:rsidR="00CD7766" w:rsidRPr="00F35E92">
        <w:rPr>
          <w:bCs/>
          <w:i/>
        </w:rPr>
        <w:t xml:space="preserve"> and blood eosinophil count</w:t>
      </w:r>
      <w:r w:rsidR="003C5B20" w:rsidRPr="00F35E92">
        <w:rPr>
          <w:bCs/>
          <w:i/>
        </w:rPr>
        <w:t>-based 365-day Readmission Prediction</w:t>
      </w:r>
    </w:p>
    <w:p w14:paraId="34739771" w14:textId="77777777" w:rsidR="003C5B20" w:rsidRPr="00F35E92" w:rsidRDefault="00CD7766" w:rsidP="00DC2CC6">
      <w:pPr>
        <w:outlineLvl w:val="0"/>
        <w:rPr>
          <w:bCs/>
        </w:rPr>
      </w:pPr>
      <w:bookmarkStart w:id="0" w:name="_Hlk8217096"/>
      <w:r w:rsidRPr="00F35E92">
        <w:rPr>
          <w:bCs/>
          <w:noProof/>
          <w:lang w:val="en-US" w:eastAsia="en-US"/>
        </w:rPr>
        <w:drawing>
          <wp:inline distT="0" distB="0" distL="0" distR="0" wp14:anchorId="6BF011E8" wp14:editId="73EBE5CB">
            <wp:extent cx="5725160" cy="5725160"/>
            <wp:effectExtent l="0" t="0" r="0" b="0"/>
            <wp:docPr id="6" name="Billede 6" descr="C:\Users\khaa0055\OneDrive - Region Hovedstaden\suPAR\COPD\Respirology Submission\Figure S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haa0055\OneDrive - Region Hovedstaden\suPAR\COPD\Respirology Submission\Figure S1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58FCF" w14:textId="77777777" w:rsidR="00DC2CC6" w:rsidRPr="00F35E92" w:rsidRDefault="003C5B20" w:rsidP="00DC2CC6">
      <w:pPr>
        <w:outlineLvl w:val="0"/>
        <w:rPr>
          <w:bCs/>
        </w:rPr>
      </w:pPr>
      <w:r w:rsidRPr="00F35E92">
        <w:rPr>
          <w:bCs/>
        </w:rPr>
        <w:t>Receiver Operating Characteristic-analysis of suPAR</w:t>
      </w:r>
      <w:r w:rsidR="00CD7766" w:rsidRPr="00F35E92">
        <w:rPr>
          <w:bCs/>
        </w:rPr>
        <w:t xml:space="preserve"> and blood eosinophil count</w:t>
      </w:r>
      <w:r w:rsidRPr="00F35E92">
        <w:rPr>
          <w:bCs/>
        </w:rPr>
        <w:t xml:space="preserve"> for 365-day readmission prediction in 4,022 patients acutely hospitalized with chronic obstructive pulmonary disease.</w:t>
      </w:r>
    </w:p>
    <w:bookmarkEnd w:id="0"/>
    <w:p w14:paraId="0BEAD62A" w14:textId="77777777" w:rsidR="00DC2CC6" w:rsidRPr="00F35E92" w:rsidRDefault="00DC2CC6" w:rsidP="00DC2CC6">
      <w:pPr>
        <w:outlineLvl w:val="0"/>
        <w:rPr>
          <w:b/>
          <w:bCs/>
        </w:rPr>
      </w:pPr>
    </w:p>
    <w:p w14:paraId="4B26B431" w14:textId="77777777" w:rsidR="003C5B20" w:rsidRPr="00F35E92" w:rsidRDefault="003C5B20" w:rsidP="00DC2CC6">
      <w:pPr>
        <w:outlineLvl w:val="0"/>
        <w:rPr>
          <w:b/>
          <w:bCs/>
        </w:rPr>
        <w:sectPr w:rsidR="003C5B20" w:rsidRPr="00F35E92" w:rsidSect="00F7396E">
          <w:pgSz w:w="11907" w:h="16840" w:code="9"/>
          <w:pgMar w:top="1440" w:right="1440" w:bottom="1440" w:left="1440" w:header="709" w:footer="709" w:gutter="0"/>
          <w:paperSrc w:first="262" w:other="262"/>
          <w:cols w:space="708"/>
          <w:titlePg/>
          <w:docGrid w:linePitch="360"/>
        </w:sectPr>
      </w:pPr>
    </w:p>
    <w:p w14:paraId="26DB98B7" w14:textId="77777777" w:rsidR="00280DAA" w:rsidRPr="00F35E92" w:rsidRDefault="00280DAA" w:rsidP="00DC2CC6">
      <w:pPr>
        <w:outlineLvl w:val="0"/>
        <w:rPr>
          <w:b/>
          <w:bCs/>
        </w:rPr>
      </w:pPr>
    </w:p>
    <w:p w14:paraId="517E60F2" w14:textId="53FAA3C2" w:rsidR="00DC2CC6" w:rsidRPr="00F35E92" w:rsidRDefault="00DC2CC6" w:rsidP="00DC2CC6">
      <w:pPr>
        <w:outlineLvl w:val="0"/>
        <w:rPr>
          <w:bCs/>
          <w:i/>
        </w:rPr>
      </w:pPr>
      <w:r w:rsidRPr="00F35E92">
        <w:rPr>
          <w:b/>
          <w:bCs/>
        </w:rPr>
        <w:t>Figure S</w:t>
      </w:r>
      <w:r w:rsidR="00F90F39" w:rsidRPr="00F35E92">
        <w:rPr>
          <w:b/>
          <w:bCs/>
        </w:rPr>
        <w:t>2</w:t>
      </w:r>
      <w:r w:rsidRPr="00F35E92">
        <w:rPr>
          <w:bCs/>
          <w:i/>
        </w:rPr>
        <w:t xml:space="preserve">- </w:t>
      </w:r>
      <w:r w:rsidR="003C5B20" w:rsidRPr="00F35E92">
        <w:rPr>
          <w:bCs/>
          <w:i/>
        </w:rPr>
        <w:t>AUC-graph for suPAR</w:t>
      </w:r>
      <w:r w:rsidR="00CD7766" w:rsidRPr="00F35E92">
        <w:rPr>
          <w:bCs/>
          <w:i/>
        </w:rPr>
        <w:t xml:space="preserve"> and blood eosinophil count</w:t>
      </w:r>
      <w:r w:rsidR="003C5B20" w:rsidRPr="00F35E92">
        <w:rPr>
          <w:bCs/>
          <w:i/>
        </w:rPr>
        <w:t>-based 365-day Mortality Prediction</w:t>
      </w:r>
    </w:p>
    <w:p w14:paraId="785A1427" w14:textId="77777777" w:rsidR="003C5B20" w:rsidRPr="00F35E92" w:rsidRDefault="00CD7766" w:rsidP="009A7B43">
      <w:pPr>
        <w:outlineLvl w:val="0"/>
        <w:rPr>
          <w:bCs/>
        </w:rPr>
      </w:pPr>
      <w:r w:rsidRPr="00F35E92">
        <w:rPr>
          <w:bCs/>
          <w:noProof/>
          <w:lang w:val="en-US" w:eastAsia="en-US"/>
        </w:rPr>
        <w:drawing>
          <wp:inline distT="0" distB="0" distL="0" distR="0" wp14:anchorId="3BDB87F8" wp14:editId="6FFC0C3C">
            <wp:extent cx="5725160" cy="5725160"/>
            <wp:effectExtent l="0" t="0" r="0" b="0"/>
            <wp:docPr id="5" name="Billede 5" descr="C:\Users\khaa0055\OneDrive - Region Hovedstaden\suPAR\COPD\Respirology Submission\Figure S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haa0055\OneDrive - Region Hovedstaden\suPAR\COPD\Respirology Submission\Figure S2.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201E" w14:textId="77777777" w:rsidR="00DC2CC6" w:rsidRPr="00F35E92" w:rsidRDefault="003C5B20" w:rsidP="009A7B43">
      <w:pPr>
        <w:outlineLvl w:val="0"/>
        <w:rPr>
          <w:bCs/>
          <w:i/>
        </w:rPr>
      </w:pPr>
      <w:r w:rsidRPr="00F35E92">
        <w:rPr>
          <w:bCs/>
        </w:rPr>
        <w:t>Receiver Operating Characteristic-analysis of suPAR</w:t>
      </w:r>
      <w:r w:rsidR="00CD7766" w:rsidRPr="00F35E92">
        <w:rPr>
          <w:bCs/>
        </w:rPr>
        <w:t xml:space="preserve"> and blood eosinophil count</w:t>
      </w:r>
      <w:r w:rsidRPr="00F35E92">
        <w:rPr>
          <w:bCs/>
        </w:rPr>
        <w:t xml:space="preserve"> for 365-day mortality prediction in 4,022 patients acutely hospitalized with chronic obstructive pulmonary disease.</w:t>
      </w:r>
    </w:p>
    <w:p w14:paraId="2910F3CB" w14:textId="77777777" w:rsidR="00DC2CC6" w:rsidRPr="00F35E92" w:rsidRDefault="00DC2CC6" w:rsidP="009A7B43">
      <w:pPr>
        <w:outlineLvl w:val="0"/>
        <w:rPr>
          <w:bCs/>
          <w:i/>
        </w:rPr>
      </w:pPr>
    </w:p>
    <w:p w14:paraId="0A6584DF" w14:textId="77777777" w:rsidR="00DC2CC6" w:rsidRPr="00F35E92" w:rsidRDefault="00DC2CC6" w:rsidP="009A7B43">
      <w:pPr>
        <w:outlineLvl w:val="0"/>
        <w:rPr>
          <w:bCs/>
          <w:i/>
        </w:rPr>
      </w:pPr>
    </w:p>
    <w:p w14:paraId="7D5F30FB" w14:textId="77777777" w:rsidR="00F90F39" w:rsidRPr="00F35E92" w:rsidRDefault="00F90F39" w:rsidP="009A7B43">
      <w:pPr>
        <w:outlineLvl w:val="0"/>
        <w:rPr>
          <w:bCs/>
          <w:i/>
        </w:rPr>
        <w:sectPr w:rsidR="00F90F39" w:rsidRPr="00F35E92" w:rsidSect="00F7396E">
          <w:pgSz w:w="11907" w:h="16840" w:code="9"/>
          <w:pgMar w:top="1440" w:right="1440" w:bottom="1440" w:left="1440" w:header="709" w:footer="709" w:gutter="0"/>
          <w:paperSrc w:first="262" w:other="262"/>
          <w:cols w:space="708"/>
          <w:titlePg/>
          <w:docGrid w:linePitch="360"/>
        </w:sectPr>
      </w:pPr>
    </w:p>
    <w:p w14:paraId="47E70285" w14:textId="1EBE7655" w:rsidR="00F90F39" w:rsidRPr="00F35E92" w:rsidRDefault="00F90F39" w:rsidP="00F90F39">
      <w:pPr>
        <w:outlineLvl w:val="0"/>
        <w:rPr>
          <w:bCs/>
          <w:i/>
        </w:rPr>
      </w:pPr>
      <w:r w:rsidRPr="00F35E92">
        <w:rPr>
          <w:b/>
          <w:bCs/>
        </w:rPr>
        <w:lastRenderedPageBreak/>
        <w:t>Figure S3</w:t>
      </w:r>
      <w:r w:rsidRPr="00F35E92">
        <w:rPr>
          <w:bCs/>
          <w:i/>
        </w:rPr>
        <w:t>- Cumulative incidence graph of readmission and mortality, strat</w:t>
      </w:r>
      <w:bookmarkStart w:id="1" w:name="_GoBack"/>
      <w:bookmarkEnd w:id="1"/>
      <w:r w:rsidRPr="00F35E92">
        <w:rPr>
          <w:bCs/>
          <w:i/>
        </w:rPr>
        <w:t>ified by blood eosinophils.</w:t>
      </w:r>
    </w:p>
    <w:p w14:paraId="0458938B" w14:textId="77777777" w:rsidR="00F90F39" w:rsidRPr="00F35E92" w:rsidRDefault="00F90F39" w:rsidP="00F90F39">
      <w:pPr>
        <w:outlineLvl w:val="0"/>
        <w:rPr>
          <w:bCs/>
        </w:rPr>
      </w:pPr>
      <w:r w:rsidRPr="00F35E92">
        <w:rPr>
          <w:bCs/>
          <w:noProof/>
          <w:lang w:val="en-US" w:eastAsia="en-US"/>
        </w:rPr>
        <w:drawing>
          <wp:inline distT="0" distB="0" distL="0" distR="0" wp14:anchorId="6B123CE9" wp14:editId="35B7B56D">
            <wp:extent cx="5725160" cy="5725160"/>
            <wp:effectExtent l="0" t="0" r="889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haa0055\OneDrive - Region Hovedstaden\suPAR\COPD\Respirology Submission\Figure S1.tif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7157B" w14:textId="058B2B73" w:rsidR="00DC2CC6" w:rsidRPr="00F35E92" w:rsidRDefault="00F90F39" w:rsidP="009A7B43">
      <w:pPr>
        <w:outlineLvl w:val="0"/>
        <w:rPr>
          <w:bCs/>
          <w:i/>
        </w:rPr>
      </w:pPr>
      <w:r w:rsidRPr="00F35E92">
        <w:t>Cumulative incidence plot of mortality (top) and readmission (bottom) within 365 days, stratified by blood eosinophil count, for 4,022 patients acutely admitted with chronic obstructive pulmonary disease.</w:t>
      </w:r>
      <w:r w:rsidRPr="00F35E92">
        <w:rPr>
          <w:bCs/>
          <w:i/>
        </w:rPr>
        <w:t xml:space="preserve"> </w:t>
      </w:r>
    </w:p>
    <w:p w14:paraId="42BE7274" w14:textId="77777777" w:rsidR="003F0B39" w:rsidRPr="00F35E92" w:rsidRDefault="003F0B39" w:rsidP="009A7B43">
      <w:pPr>
        <w:outlineLvl w:val="0"/>
        <w:rPr>
          <w:bCs/>
          <w:i/>
        </w:rPr>
        <w:sectPr w:rsidR="003F0B39" w:rsidRPr="00F35E92" w:rsidSect="00F7396E">
          <w:pgSz w:w="11907" w:h="16840" w:code="9"/>
          <w:pgMar w:top="1440" w:right="1440" w:bottom="1440" w:left="1440" w:header="709" w:footer="709" w:gutter="0"/>
          <w:paperSrc w:first="262" w:other="262"/>
          <w:cols w:space="708"/>
          <w:titlePg/>
          <w:docGrid w:linePitch="360"/>
        </w:sectPr>
      </w:pPr>
    </w:p>
    <w:tbl>
      <w:tblPr>
        <w:tblStyle w:val="Tabel-Gitter1"/>
        <w:tblW w:w="126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890"/>
        <w:gridCol w:w="1890"/>
        <w:gridCol w:w="1890"/>
        <w:gridCol w:w="1440"/>
        <w:gridCol w:w="1980"/>
        <w:gridCol w:w="990"/>
      </w:tblGrid>
      <w:tr w:rsidR="001D7F30" w:rsidRPr="00F35E92" w14:paraId="464DA004" w14:textId="77777777" w:rsidTr="00BE1F8A">
        <w:tc>
          <w:tcPr>
            <w:tcW w:w="12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824EE" w14:textId="541B7E8F" w:rsidR="001D7F30" w:rsidRPr="00F35E92" w:rsidRDefault="00F35E92" w:rsidP="00BE1F8A">
            <w:pPr>
              <w:pStyle w:val="Ingenafstan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Supplementary Table 1</w:t>
            </w:r>
            <w:r w:rsidR="001D7F30" w:rsidRPr="00F35E92">
              <w:rPr>
                <w:rFonts w:ascii="Times New Roman" w:hAnsi="Times New Roman"/>
                <w:b/>
              </w:rPr>
              <w:t xml:space="preserve">: </w:t>
            </w:r>
            <w:r w:rsidR="001D7F30" w:rsidRPr="00F35E92">
              <w:rPr>
                <w:rFonts w:ascii="Times New Roman" w:hAnsi="Times New Roman"/>
              </w:rPr>
              <w:t xml:space="preserve">HRs for readmission and mortality within </w:t>
            </w:r>
            <w:r w:rsidRPr="00F35E92">
              <w:rPr>
                <w:rFonts w:ascii="Times New Roman" w:hAnsi="Times New Roman"/>
              </w:rPr>
              <w:t>30- or 90-days</w:t>
            </w:r>
            <w:r w:rsidR="001D7F30" w:rsidRPr="00F35E92">
              <w:rPr>
                <w:rFonts w:ascii="Times New Roman" w:hAnsi="Times New Roman"/>
              </w:rPr>
              <w:t xml:space="preserve"> following hospitalization in patients with COPD (n=4,022), for continuous suPAR (log2-transformed) or stratified by suPAR quartiles.</w:t>
            </w:r>
          </w:p>
        </w:tc>
      </w:tr>
      <w:tr w:rsidR="001D7F30" w:rsidRPr="00F35E92" w14:paraId="2EC71A64" w14:textId="77777777" w:rsidTr="00BE1F8A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0A67A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  <w:b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F54CF" w14:textId="77777777" w:rsidR="001D7F30" w:rsidRPr="00F35E92" w:rsidRDefault="001D7F30" w:rsidP="00BE1F8A">
            <w:pPr>
              <w:pStyle w:val="Ingenafstand"/>
              <w:jc w:val="center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>Respiratory Readmission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575C6" w14:textId="77777777" w:rsidR="001D7F30" w:rsidRPr="00F35E92" w:rsidRDefault="001D7F30" w:rsidP="00BE1F8A">
            <w:pPr>
              <w:pStyle w:val="Ingenafstand"/>
              <w:jc w:val="center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>All-cause Readmission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3E7F9" w14:textId="77777777" w:rsidR="001D7F30" w:rsidRPr="00F35E92" w:rsidRDefault="001D7F30" w:rsidP="00BE1F8A">
            <w:pPr>
              <w:pStyle w:val="Ingenafstand"/>
              <w:jc w:val="center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>Mortality</w:t>
            </w:r>
          </w:p>
        </w:tc>
      </w:tr>
      <w:tr w:rsidR="001D7F30" w:rsidRPr="00F35E92" w14:paraId="67505379" w14:textId="77777777" w:rsidTr="00BE1F8A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C4D7D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5821D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HR (95% CI)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D53DF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P-value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77AD7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HR (95% CI)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4200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P-value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0E72B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HR (95% CI)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14F69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P-value</w:t>
            </w:r>
          </w:p>
        </w:tc>
      </w:tr>
      <w:tr w:rsidR="001D7F30" w:rsidRPr="00F35E92" w14:paraId="6845CF6D" w14:textId="77777777" w:rsidTr="00BE1F8A">
        <w:tc>
          <w:tcPr>
            <w:tcW w:w="12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2B1E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>30-day follow-up</w:t>
            </w:r>
          </w:p>
        </w:tc>
      </w:tr>
      <w:tr w:rsidR="001D7F30" w:rsidRPr="00F35E92" w14:paraId="5B8D2685" w14:textId="77777777" w:rsidTr="00BE1F8A">
        <w:tc>
          <w:tcPr>
            <w:tcW w:w="2610" w:type="dxa"/>
          </w:tcPr>
          <w:p w14:paraId="593364E8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 xml:space="preserve">   Unadjusted</w:t>
            </w:r>
          </w:p>
        </w:tc>
        <w:tc>
          <w:tcPr>
            <w:tcW w:w="1890" w:type="dxa"/>
          </w:tcPr>
          <w:p w14:paraId="23B31018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77D2D34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83BFE7C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009E7F51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5B86F69A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3AF6A48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1D7F30" w:rsidRPr="00F35E92" w14:paraId="49568445" w14:textId="77777777" w:rsidTr="00BE1F8A">
        <w:tc>
          <w:tcPr>
            <w:tcW w:w="2610" w:type="dxa"/>
          </w:tcPr>
          <w:p w14:paraId="510B9867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Continuous suPAR</w:t>
            </w:r>
          </w:p>
        </w:tc>
        <w:tc>
          <w:tcPr>
            <w:tcW w:w="1890" w:type="dxa"/>
          </w:tcPr>
          <w:p w14:paraId="44E28A53" w14:textId="1DDD1FD0" w:rsidR="001D7F30" w:rsidRPr="00F35E92" w:rsidRDefault="00746D49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 (0.97–1.27)</w:t>
            </w:r>
          </w:p>
        </w:tc>
        <w:tc>
          <w:tcPr>
            <w:tcW w:w="1890" w:type="dxa"/>
          </w:tcPr>
          <w:p w14:paraId="41E16300" w14:textId="0BF10A10" w:rsidR="001D7F30" w:rsidRPr="00F35E92" w:rsidRDefault="00746D49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</w:t>
            </w:r>
          </w:p>
        </w:tc>
        <w:tc>
          <w:tcPr>
            <w:tcW w:w="1890" w:type="dxa"/>
          </w:tcPr>
          <w:p w14:paraId="7E9FD076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1.28 (1.18–1.40)</w:t>
            </w:r>
          </w:p>
        </w:tc>
        <w:tc>
          <w:tcPr>
            <w:tcW w:w="1440" w:type="dxa"/>
          </w:tcPr>
          <w:p w14:paraId="540D3A6C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  <w:tc>
          <w:tcPr>
            <w:tcW w:w="1980" w:type="dxa"/>
          </w:tcPr>
          <w:p w14:paraId="1A872F4F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2.55 (2.27–2.88)</w:t>
            </w:r>
          </w:p>
        </w:tc>
        <w:tc>
          <w:tcPr>
            <w:tcW w:w="990" w:type="dxa"/>
          </w:tcPr>
          <w:p w14:paraId="4F2E96A8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</w:tr>
      <w:tr w:rsidR="001D7F30" w:rsidRPr="00F35E92" w14:paraId="7D332E28" w14:textId="77777777" w:rsidTr="00BE1F8A">
        <w:tc>
          <w:tcPr>
            <w:tcW w:w="2610" w:type="dxa"/>
          </w:tcPr>
          <w:p w14:paraId="171D31B9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1</w:t>
            </w:r>
            <w:r w:rsidRPr="00F35E92">
              <w:rPr>
                <w:rFonts w:ascii="Times New Roman" w:hAnsi="Times New Roman"/>
                <w:vertAlign w:val="superscript"/>
              </w:rPr>
              <w:t>st</w:t>
            </w:r>
            <w:r w:rsidRPr="00F35E92">
              <w:rPr>
                <w:rFonts w:ascii="Times New Roman" w:hAnsi="Times New Roman"/>
              </w:rPr>
              <w:t xml:space="preserve"> suPAR quartile</w:t>
            </w:r>
            <w:r w:rsidRPr="00F35E92"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1890" w:type="dxa"/>
          </w:tcPr>
          <w:p w14:paraId="560933D6" w14:textId="70BA451C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0" w:type="dxa"/>
          </w:tcPr>
          <w:p w14:paraId="3A168A56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DC5C6CF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</w:tcPr>
          <w:p w14:paraId="7768A433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47030CB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</w:tcPr>
          <w:p w14:paraId="5F0C7D63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1D7F30" w:rsidRPr="00F35E92" w14:paraId="778612B7" w14:textId="77777777" w:rsidTr="00BE1F8A">
        <w:tc>
          <w:tcPr>
            <w:tcW w:w="2610" w:type="dxa"/>
          </w:tcPr>
          <w:p w14:paraId="2F7EA3A7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2</w:t>
            </w:r>
            <w:r w:rsidRPr="00F35E92">
              <w:rPr>
                <w:rFonts w:ascii="Times New Roman" w:hAnsi="Times New Roman"/>
                <w:vertAlign w:val="superscript"/>
              </w:rPr>
              <w:t>nd</w:t>
            </w:r>
            <w:r w:rsidRPr="00F35E92">
              <w:rPr>
                <w:rFonts w:ascii="Times New Roman" w:hAnsi="Times New Roman"/>
              </w:rPr>
              <w:t xml:space="preserve"> suPAR quartile</w:t>
            </w:r>
          </w:p>
        </w:tc>
        <w:tc>
          <w:tcPr>
            <w:tcW w:w="1890" w:type="dxa"/>
          </w:tcPr>
          <w:p w14:paraId="2858FF88" w14:textId="226055A2" w:rsidR="001D7F30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1.01 (0.76–1.32)</w:t>
            </w:r>
          </w:p>
        </w:tc>
        <w:tc>
          <w:tcPr>
            <w:tcW w:w="1890" w:type="dxa"/>
          </w:tcPr>
          <w:p w14:paraId="794FD148" w14:textId="487C8358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0.97</w:t>
            </w:r>
          </w:p>
        </w:tc>
        <w:tc>
          <w:tcPr>
            <w:tcW w:w="1890" w:type="dxa"/>
          </w:tcPr>
          <w:p w14:paraId="061C9EF0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1.13 (0.92–1.37)</w:t>
            </w:r>
          </w:p>
        </w:tc>
        <w:tc>
          <w:tcPr>
            <w:tcW w:w="1440" w:type="dxa"/>
          </w:tcPr>
          <w:p w14:paraId="130A0055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0.24</w:t>
            </w:r>
          </w:p>
        </w:tc>
        <w:tc>
          <w:tcPr>
            <w:tcW w:w="1980" w:type="dxa"/>
          </w:tcPr>
          <w:p w14:paraId="01BB77A0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1.95 (1.25–3.06)</w:t>
            </w:r>
          </w:p>
        </w:tc>
        <w:tc>
          <w:tcPr>
            <w:tcW w:w="990" w:type="dxa"/>
          </w:tcPr>
          <w:p w14:paraId="0FE8F830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0.0033</w:t>
            </w:r>
          </w:p>
        </w:tc>
      </w:tr>
      <w:tr w:rsidR="001D7F30" w:rsidRPr="00F35E92" w14:paraId="67DA1D0E" w14:textId="77777777" w:rsidTr="00BE1F8A">
        <w:tc>
          <w:tcPr>
            <w:tcW w:w="2610" w:type="dxa"/>
          </w:tcPr>
          <w:p w14:paraId="6D89000C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3</w:t>
            </w:r>
            <w:r w:rsidRPr="00F35E92">
              <w:rPr>
                <w:rFonts w:ascii="Times New Roman" w:hAnsi="Times New Roman"/>
                <w:vertAlign w:val="superscript"/>
              </w:rPr>
              <w:t>rd</w:t>
            </w:r>
            <w:r w:rsidRPr="00F35E92">
              <w:rPr>
                <w:rFonts w:ascii="Times New Roman" w:hAnsi="Times New Roman"/>
              </w:rPr>
              <w:t xml:space="preserve"> suPAR quartile </w:t>
            </w:r>
          </w:p>
        </w:tc>
        <w:tc>
          <w:tcPr>
            <w:tcW w:w="1890" w:type="dxa"/>
          </w:tcPr>
          <w:p w14:paraId="3BD3B915" w14:textId="731E0245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 (0.90–1.54)</w:t>
            </w:r>
          </w:p>
        </w:tc>
        <w:tc>
          <w:tcPr>
            <w:tcW w:w="1890" w:type="dxa"/>
          </w:tcPr>
          <w:p w14:paraId="447023AF" w14:textId="24D2A692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</w:t>
            </w:r>
          </w:p>
        </w:tc>
        <w:tc>
          <w:tcPr>
            <w:tcW w:w="1890" w:type="dxa"/>
          </w:tcPr>
          <w:p w14:paraId="1D15CE3D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1.43 (1.18–1.73)</w:t>
            </w:r>
          </w:p>
        </w:tc>
        <w:tc>
          <w:tcPr>
            <w:tcW w:w="1440" w:type="dxa"/>
          </w:tcPr>
          <w:p w14:paraId="6895AF95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0.0002</w:t>
            </w:r>
          </w:p>
        </w:tc>
        <w:tc>
          <w:tcPr>
            <w:tcW w:w="1980" w:type="dxa"/>
          </w:tcPr>
          <w:p w14:paraId="517DD486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3.07 (2.02–4.67)</w:t>
            </w:r>
          </w:p>
        </w:tc>
        <w:tc>
          <w:tcPr>
            <w:tcW w:w="990" w:type="dxa"/>
          </w:tcPr>
          <w:p w14:paraId="634EFA02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</w:tr>
      <w:tr w:rsidR="001D7F30" w:rsidRPr="00F35E92" w14:paraId="79FC9728" w14:textId="77777777" w:rsidTr="00BE1F8A">
        <w:tc>
          <w:tcPr>
            <w:tcW w:w="2610" w:type="dxa"/>
          </w:tcPr>
          <w:p w14:paraId="3599855E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4</w:t>
            </w:r>
            <w:r w:rsidRPr="00F35E92">
              <w:rPr>
                <w:rFonts w:ascii="Times New Roman" w:hAnsi="Times New Roman"/>
                <w:vertAlign w:val="superscript"/>
              </w:rPr>
              <w:t>th</w:t>
            </w:r>
            <w:r w:rsidRPr="00F35E92">
              <w:rPr>
                <w:rFonts w:ascii="Times New Roman" w:hAnsi="Times New Roman"/>
              </w:rPr>
              <w:t xml:space="preserve"> suPAR quartile </w:t>
            </w:r>
          </w:p>
        </w:tc>
        <w:tc>
          <w:tcPr>
            <w:tcW w:w="1890" w:type="dxa"/>
          </w:tcPr>
          <w:p w14:paraId="5D9E3479" w14:textId="6D0A3C06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 (0.93–1.59)</w:t>
            </w:r>
          </w:p>
        </w:tc>
        <w:tc>
          <w:tcPr>
            <w:tcW w:w="1890" w:type="dxa"/>
          </w:tcPr>
          <w:p w14:paraId="194FF12F" w14:textId="138651FE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0.16</w:t>
            </w:r>
          </w:p>
        </w:tc>
        <w:tc>
          <w:tcPr>
            <w:tcW w:w="1890" w:type="dxa"/>
          </w:tcPr>
          <w:p w14:paraId="2AE448C7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1.56 (1.29–1.88)</w:t>
            </w:r>
          </w:p>
        </w:tc>
        <w:tc>
          <w:tcPr>
            <w:tcW w:w="1440" w:type="dxa"/>
          </w:tcPr>
          <w:p w14:paraId="12C8D6AF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  <w:tc>
          <w:tcPr>
            <w:tcW w:w="1980" w:type="dxa"/>
          </w:tcPr>
          <w:p w14:paraId="3DE0A9A0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7.49 (5.08–11.05)</w:t>
            </w:r>
          </w:p>
        </w:tc>
        <w:tc>
          <w:tcPr>
            <w:tcW w:w="990" w:type="dxa"/>
          </w:tcPr>
          <w:p w14:paraId="6ED845D9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</w:tr>
      <w:tr w:rsidR="001D7F30" w:rsidRPr="00F35E92" w14:paraId="2BC7F31E" w14:textId="77777777" w:rsidTr="00BE1F8A">
        <w:tc>
          <w:tcPr>
            <w:tcW w:w="12690" w:type="dxa"/>
            <w:gridSpan w:val="7"/>
          </w:tcPr>
          <w:p w14:paraId="6A3FC726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 xml:space="preserve">   Multivariable</w:t>
            </w:r>
            <w:r w:rsidRPr="00F35E92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1D7F30" w:rsidRPr="00F35E92" w14:paraId="5816155F" w14:textId="77777777" w:rsidTr="00BE1F8A">
        <w:tc>
          <w:tcPr>
            <w:tcW w:w="2610" w:type="dxa"/>
          </w:tcPr>
          <w:p w14:paraId="30C69878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Continuous suPAR</w:t>
            </w:r>
          </w:p>
        </w:tc>
        <w:tc>
          <w:tcPr>
            <w:tcW w:w="1890" w:type="dxa"/>
          </w:tcPr>
          <w:p w14:paraId="4DD413E0" w14:textId="61590B73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1.01 (0.86–1.18)</w:t>
            </w:r>
          </w:p>
        </w:tc>
        <w:tc>
          <w:tcPr>
            <w:tcW w:w="1890" w:type="dxa"/>
          </w:tcPr>
          <w:p w14:paraId="5C0B61DF" w14:textId="20A5CE30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0.89</w:t>
            </w:r>
          </w:p>
        </w:tc>
        <w:tc>
          <w:tcPr>
            <w:tcW w:w="1890" w:type="dxa"/>
          </w:tcPr>
          <w:p w14:paraId="3BB69EA0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1.27 (1.15–1.41)</w:t>
            </w:r>
          </w:p>
        </w:tc>
        <w:tc>
          <w:tcPr>
            <w:tcW w:w="1440" w:type="dxa"/>
          </w:tcPr>
          <w:p w14:paraId="67F02834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  <w:tc>
          <w:tcPr>
            <w:tcW w:w="1980" w:type="dxa"/>
          </w:tcPr>
          <w:p w14:paraId="0343490E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2.04 (1.72–2.43)</w:t>
            </w:r>
          </w:p>
        </w:tc>
        <w:tc>
          <w:tcPr>
            <w:tcW w:w="990" w:type="dxa"/>
          </w:tcPr>
          <w:p w14:paraId="475662B8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</w:tr>
      <w:tr w:rsidR="001D7F30" w:rsidRPr="00F35E92" w14:paraId="184BF041" w14:textId="77777777" w:rsidTr="00BE1F8A">
        <w:tc>
          <w:tcPr>
            <w:tcW w:w="2610" w:type="dxa"/>
          </w:tcPr>
          <w:p w14:paraId="623EB6E6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1</w:t>
            </w:r>
            <w:r w:rsidRPr="00F35E92">
              <w:rPr>
                <w:rFonts w:ascii="Times New Roman" w:hAnsi="Times New Roman"/>
                <w:vertAlign w:val="superscript"/>
              </w:rPr>
              <w:t>st</w:t>
            </w:r>
            <w:r w:rsidRPr="00F35E92">
              <w:rPr>
                <w:rFonts w:ascii="Times New Roman" w:hAnsi="Times New Roman"/>
              </w:rPr>
              <w:t xml:space="preserve"> suPAR quartile</w:t>
            </w:r>
            <w:r w:rsidRPr="00F35E92"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1890" w:type="dxa"/>
          </w:tcPr>
          <w:p w14:paraId="1AFB8A25" w14:textId="0B317535" w:rsidR="001D7F30" w:rsidRPr="00F35E92" w:rsidRDefault="009D0371" w:rsidP="00BE1F8A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0" w:type="dxa"/>
          </w:tcPr>
          <w:p w14:paraId="3EEF7932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4093F25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</w:tcPr>
          <w:p w14:paraId="71C828F5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26D839E3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</w:tcPr>
          <w:p w14:paraId="50318F1B" w14:textId="77777777" w:rsidR="001D7F30" w:rsidRPr="00F35E92" w:rsidRDefault="001D7F30" w:rsidP="00BE1F8A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9D0371" w:rsidRPr="00F35E92" w14:paraId="247BFEB6" w14:textId="77777777" w:rsidTr="00BE1F8A">
        <w:tc>
          <w:tcPr>
            <w:tcW w:w="2610" w:type="dxa"/>
          </w:tcPr>
          <w:p w14:paraId="344CA13D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2</w:t>
            </w:r>
            <w:r w:rsidRPr="00F35E92">
              <w:rPr>
                <w:rFonts w:ascii="Times New Roman" w:hAnsi="Times New Roman"/>
                <w:vertAlign w:val="superscript"/>
              </w:rPr>
              <w:t>nd</w:t>
            </w:r>
            <w:r w:rsidRPr="00F35E92">
              <w:rPr>
                <w:rFonts w:ascii="Times New Roman" w:hAnsi="Times New Roman"/>
              </w:rPr>
              <w:t xml:space="preserve"> suPAR quartile</w:t>
            </w:r>
          </w:p>
        </w:tc>
        <w:tc>
          <w:tcPr>
            <w:tcW w:w="1890" w:type="dxa"/>
          </w:tcPr>
          <w:p w14:paraId="7AD280C4" w14:textId="5F225891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0.96 (0.71–1.30)</w:t>
            </w:r>
          </w:p>
        </w:tc>
        <w:tc>
          <w:tcPr>
            <w:tcW w:w="1890" w:type="dxa"/>
          </w:tcPr>
          <w:p w14:paraId="78A2D6B6" w14:textId="3B713A10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0.78</w:t>
            </w:r>
          </w:p>
        </w:tc>
        <w:tc>
          <w:tcPr>
            <w:tcW w:w="1890" w:type="dxa"/>
          </w:tcPr>
          <w:p w14:paraId="1A13F988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1.12 (0.89–1.39)</w:t>
            </w:r>
          </w:p>
        </w:tc>
        <w:tc>
          <w:tcPr>
            <w:tcW w:w="1440" w:type="dxa"/>
          </w:tcPr>
          <w:p w14:paraId="0B58A22A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0.33</w:t>
            </w:r>
          </w:p>
        </w:tc>
        <w:tc>
          <w:tcPr>
            <w:tcW w:w="1980" w:type="dxa"/>
          </w:tcPr>
          <w:p w14:paraId="6251CADF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1.89 (1.10–3.24)</w:t>
            </w:r>
          </w:p>
        </w:tc>
        <w:tc>
          <w:tcPr>
            <w:tcW w:w="990" w:type="dxa"/>
          </w:tcPr>
          <w:p w14:paraId="76E0ADE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0.022</w:t>
            </w:r>
          </w:p>
        </w:tc>
      </w:tr>
      <w:tr w:rsidR="009D0371" w:rsidRPr="00F35E92" w14:paraId="207451D0" w14:textId="77777777" w:rsidTr="00BE1F8A">
        <w:tc>
          <w:tcPr>
            <w:tcW w:w="2610" w:type="dxa"/>
          </w:tcPr>
          <w:p w14:paraId="43E761C3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3</w:t>
            </w:r>
            <w:r w:rsidRPr="00F35E92">
              <w:rPr>
                <w:rFonts w:ascii="Times New Roman" w:hAnsi="Times New Roman"/>
                <w:vertAlign w:val="superscript"/>
              </w:rPr>
              <w:t>rd</w:t>
            </w:r>
            <w:r w:rsidRPr="00F35E92">
              <w:rPr>
                <w:rFonts w:ascii="Times New Roman" w:hAnsi="Times New Roman"/>
              </w:rPr>
              <w:t xml:space="preserve"> suPAR quartile </w:t>
            </w:r>
          </w:p>
        </w:tc>
        <w:tc>
          <w:tcPr>
            <w:tcW w:w="1890" w:type="dxa"/>
          </w:tcPr>
          <w:p w14:paraId="1E9E40EC" w14:textId="5D8F669A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 (0.75–1.38)</w:t>
            </w:r>
          </w:p>
        </w:tc>
        <w:tc>
          <w:tcPr>
            <w:tcW w:w="1890" w:type="dxa"/>
          </w:tcPr>
          <w:p w14:paraId="382D515C" w14:textId="1DA3CEC2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0.91</w:t>
            </w:r>
          </w:p>
        </w:tc>
        <w:tc>
          <w:tcPr>
            <w:tcW w:w="1890" w:type="dxa"/>
          </w:tcPr>
          <w:p w14:paraId="3D971608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1.41 (1.14–1.75)</w:t>
            </w:r>
          </w:p>
        </w:tc>
        <w:tc>
          <w:tcPr>
            <w:tcW w:w="1440" w:type="dxa"/>
          </w:tcPr>
          <w:p w14:paraId="6835020D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0.0018</w:t>
            </w:r>
          </w:p>
        </w:tc>
        <w:tc>
          <w:tcPr>
            <w:tcW w:w="1980" w:type="dxa"/>
          </w:tcPr>
          <w:p w14:paraId="549CA20F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2.08 (1.23–3.52)</w:t>
            </w:r>
          </w:p>
        </w:tc>
        <w:tc>
          <w:tcPr>
            <w:tcW w:w="990" w:type="dxa"/>
          </w:tcPr>
          <w:p w14:paraId="18020486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0.0063</w:t>
            </w:r>
          </w:p>
        </w:tc>
      </w:tr>
      <w:tr w:rsidR="009D0371" w:rsidRPr="00F35E92" w14:paraId="2CADC528" w14:textId="77777777" w:rsidTr="00BE1F8A">
        <w:tc>
          <w:tcPr>
            <w:tcW w:w="2610" w:type="dxa"/>
          </w:tcPr>
          <w:p w14:paraId="297356D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4</w:t>
            </w:r>
            <w:r w:rsidRPr="00F35E92">
              <w:rPr>
                <w:rFonts w:ascii="Times New Roman" w:hAnsi="Times New Roman"/>
                <w:vertAlign w:val="superscript"/>
              </w:rPr>
              <w:t>th</w:t>
            </w:r>
            <w:r w:rsidRPr="00F35E92">
              <w:rPr>
                <w:rFonts w:ascii="Times New Roman" w:hAnsi="Times New Roman"/>
              </w:rPr>
              <w:t xml:space="preserve"> suPAR quartile </w:t>
            </w:r>
          </w:p>
        </w:tc>
        <w:tc>
          <w:tcPr>
            <w:tcW w:w="1890" w:type="dxa"/>
          </w:tcPr>
          <w:p w14:paraId="48D6DAAE" w14:textId="0E409498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0.99 (0.72–1.37)</w:t>
            </w:r>
          </w:p>
        </w:tc>
        <w:tc>
          <w:tcPr>
            <w:tcW w:w="1890" w:type="dxa"/>
          </w:tcPr>
          <w:p w14:paraId="759032FA" w14:textId="79893C3B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0.97</w:t>
            </w:r>
          </w:p>
        </w:tc>
        <w:tc>
          <w:tcPr>
            <w:tcW w:w="1890" w:type="dxa"/>
          </w:tcPr>
          <w:p w14:paraId="3800A4FF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1.54 (1.24–1.93)</w:t>
            </w:r>
          </w:p>
        </w:tc>
        <w:tc>
          <w:tcPr>
            <w:tcW w:w="1440" w:type="dxa"/>
          </w:tcPr>
          <w:p w14:paraId="0BC68E00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0.0001</w:t>
            </w:r>
          </w:p>
        </w:tc>
        <w:tc>
          <w:tcPr>
            <w:tcW w:w="1980" w:type="dxa"/>
          </w:tcPr>
          <w:p w14:paraId="5B4254CA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4.06 (2.46–6.71)</w:t>
            </w:r>
          </w:p>
        </w:tc>
        <w:tc>
          <w:tcPr>
            <w:tcW w:w="990" w:type="dxa"/>
          </w:tcPr>
          <w:p w14:paraId="1ABBAB77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</w:tr>
      <w:tr w:rsidR="009D0371" w:rsidRPr="00F35E92" w14:paraId="1A9225D9" w14:textId="77777777" w:rsidTr="00BE1F8A">
        <w:tc>
          <w:tcPr>
            <w:tcW w:w="2610" w:type="dxa"/>
          </w:tcPr>
          <w:p w14:paraId="2171499A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>90-days follow-up</w:t>
            </w:r>
          </w:p>
        </w:tc>
        <w:tc>
          <w:tcPr>
            <w:tcW w:w="1890" w:type="dxa"/>
          </w:tcPr>
          <w:p w14:paraId="12216A0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6ED09D3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E9EAC7B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584BD9CD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70EF75B2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2D8320E8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9D0371" w:rsidRPr="00F35E92" w14:paraId="56C0368B" w14:textId="77777777" w:rsidTr="00BE1F8A">
        <w:tc>
          <w:tcPr>
            <w:tcW w:w="2610" w:type="dxa"/>
          </w:tcPr>
          <w:p w14:paraId="73C2A6D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 xml:space="preserve">   Unadjusted</w:t>
            </w:r>
          </w:p>
        </w:tc>
        <w:tc>
          <w:tcPr>
            <w:tcW w:w="1890" w:type="dxa"/>
          </w:tcPr>
          <w:p w14:paraId="0D8731A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6882896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089CB5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4149F7E8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4DB8676F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664DEB2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9D0371" w:rsidRPr="00F35E92" w14:paraId="7AECE275" w14:textId="77777777" w:rsidTr="00BE1F8A">
        <w:tc>
          <w:tcPr>
            <w:tcW w:w="2610" w:type="dxa"/>
          </w:tcPr>
          <w:p w14:paraId="26F9513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Continuous suPAR</w:t>
            </w:r>
          </w:p>
        </w:tc>
        <w:tc>
          <w:tcPr>
            <w:tcW w:w="1890" w:type="dxa"/>
          </w:tcPr>
          <w:p w14:paraId="45AD2882" w14:textId="74DFBB15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 (1.00–1.23)</w:t>
            </w:r>
          </w:p>
        </w:tc>
        <w:tc>
          <w:tcPr>
            <w:tcW w:w="1890" w:type="dxa"/>
          </w:tcPr>
          <w:p w14:paraId="1EF7DD4B" w14:textId="63763076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0.051</w:t>
            </w:r>
          </w:p>
        </w:tc>
        <w:tc>
          <w:tcPr>
            <w:tcW w:w="1890" w:type="dxa"/>
          </w:tcPr>
          <w:p w14:paraId="25F14676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1.29 (1.21–1.39)</w:t>
            </w:r>
          </w:p>
        </w:tc>
        <w:tc>
          <w:tcPr>
            <w:tcW w:w="1440" w:type="dxa"/>
          </w:tcPr>
          <w:p w14:paraId="3428E9E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  <w:tc>
          <w:tcPr>
            <w:tcW w:w="1980" w:type="dxa"/>
          </w:tcPr>
          <w:p w14:paraId="20A1C58B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2.45 (2.23–2.70)</w:t>
            </w:r>
          </w:p>
        </w:tc>
        <w:tc>
          <w:tcPr>
            <w:tcW w:w="990" w:type="dxa"/>
          </w:tcPr>
          <w:p w14:paraId="792426AE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</w:tr>
      <w:tr w:rsidR="009D0371" w:rsidRPr="00F35E92" w14:paraId="20F5A323" w14:textId="77777777" w:rsidTr="00BE1F8A">
        <w:tc>
          <w:tcPr>
            <w:tcW w:w="2610" w:type="dxa"/>
          </w:tcPr>
          <w:p w14:paraId="6CB8AF71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1</w:t>
            </w:r>
            <w:r w:rsidRPr="00F35E92">
              <w:rPr>
                <w:rFonts w:ascii="Times New Roman" w:hAnsi="Times New Roman"/>
                <w:vertAlign w:val="superscript"/>
              </w:rPr>
              <w:t>st</w:t>
            </w:r>
            <w:r w:rsidRPr="00F35E92">
              <w:rPr>
                <w:rFonts w:ascii="Times New Roman" w:hAnsi="Times New Roman"/>
              </w:rPr>
              <w:t xml:space="preserve"> suPAR quartile</w:t>
            </w:r>
            <w:r w:rsidRPr="00F35E92"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1890" w:type="dxa"/>
          </w:tcPr>
          <w:p w14:paraId="042F7585" w14:textId="11F7BEC9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0" w:type="dxa"/>
          </w:tcPr>
          <w:p w14:paraId="2BBC1F59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B0B5D5D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</w:tcPr>
          <w:p w14:paraId="2E09B64B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45A31850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</w:t>
            </w:r>
          </w:p>
        </w:tc>
        <w:tc>
          <w:tcPr>
            <w:tcW w:w="990" w:type="dxa"/>
          </w:tcPr>
          <w:p w14:paraId="1CE8905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9D0371" w:rsidRPr="00F35E92" w14:paraId="57441F3D" w14:textId="77777777" w:rsidTr="00BE1F8A">
        <w:tc>
          <w:tcPr>
            <w:tcW w:w="2610" w:type="dxa"/>
          </w:tcPr>
          <w:p w14:paraId="0A80272C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2</w:t>
            </w:r>
            <w:r w:rsidRPr="00F35E92">
              <w:rPr>
                <w:rFonts w:ascii="Times New Roman" w:hAnsi="Times New Roman"/>
                <w:vertAlign w:val="superscript"/>
              </w:rPr>
              <w:t>nd</w:t>
            </w:r>
            <w:r w:rsidRPr="00F35E92">
              <w:rPr>
                <w:rFonts w:ascii="Times New Roman" w:hAnsi="Times New Roman"/>
              </w:rPr>
              <w:t xml:space="preserve"> suPAR quartile</w:t>
            </w:r>
          </w:p>
        </w:tc>
        <w:tc>
          <w:tcPr>
            <w:tcW w:w="1890" w:type="dxa"/>
          </w:tcPr>
          <w:p w14:paraId="716B71F6" w14:textId="38A09AAF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0.97 (0.79–1.21)</w:t>
            </w:r>
          </w:p>
        </w:tc>
        <w:tc>
          <w:tcPr>
            <w:tcW w:w="1890" w:type="dxa"/>
          </w:tcPr>
          <w:p w14:paraId="41FFE64C" w14:textId="3DA993B1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0.81</w:t>
            </w:r>
          </w:p>
        </w:tc>
        <w:tc>
          <w:tcPr>
            <w:tcW w:w="1890" w:type="dxa"/>
          </w:tcPr>
          <w:p w14:paraId="1132DC3C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1.09 (0.93–1.28)</w:t>
            </w:r>
          </w:p>
        </w:tc>
        <w:tc>
          <w:tcPr>
            <w:tcW w:w="1440" w:type="dxa"/>
          </w:tcPr>
          <w:p w14:paraId="6737AF7A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0.27</w:t>
            </w:r>
          </w:p>
        </w:tc>
        <w:tc>
          <w:tcPr>
            <w:tcW w:w="1980" w:type="dxa"/>
          </w:tcPr>
          <w:p w14:paraId="5E53D8AC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1.94 (1.36–2.76)</w:t>
            </w:r>
          </w:p>
        </w:tc>
        <w:tc>
          <w:tcPr>
            <w:tcW w:w="990" w:type="dxa"/>
          </w:tcPr>
          <w:p w14:paraId="51AC3A4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0.0002</w:t>
            </w:r>
          </w:p>
        </w:tc>
      </w:tr>
      <w:tr w:rsidR="009D0371" w:rsidRPr="00F35E92" w14:paraId="3EC5534A" w14:textId="77777777" w:rsidTr="00BE1F8A">
        <w:tc>
          <w:tcPr>
            <w:tcW w:w="2610" w:type="dxa"/>
          </w:tcPr>
          <w:p w14:paraId="6B6F4D83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3</w:t>
            </w:r>
            <w:r w:rsidRPr="00F35E92">
              <w:rPr>
                <w:rFonts w:ascii="Times New Roman" w:hAnsi="Times New Roman"/>
                <w:vertAlign w:val="superscript"/>
              </w:rPr>
              <w:t>rd</w:t>
            </w:r>
            <w:r w:rsidRPr="00F35E92">
              <w:rPr>
                <w:rFonts w:ascii="Times New Roman" w:hAnsi="Times New Roman"/>
              </w:rPr>
              <w:t xml:space="preserve"> suPAR quartile </w:t>
            </w:r>
          </w:p>
        </w:tc>
        <w:tc>
          <w:tcPr>
            <w:tcW w:w="1890" w:type="dxa"/>
          </w:tcPr>
          <w:p w14:paraId="27FD7914" w14:textId="5AA34171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 (0.96–1.45)</w:t>
            </w:r>
          </w:p>
        </w:tc>
        <w:tc>
          <w:tcPr>
            <w:tcW w:w="1890" w:type="dxa"/>
          </w:tcPr>
          <w:p w14:paraId="421AA9B1" w14:textId="64B3CF53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</w:t>
            </w:r>
          </w:p>
        </w:tc>
        <w:tc>
          <w:tcPr>
            <w:tcW w:w="1890" w:type="dxa"/>
          </w:tcPr>
          <w:p w14:paraId="13ECB256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1.40 (1.20–1.63)</w:t>
            </w:r>
          </w:p>
        </w:tc>
        <w:tc>
          <w:tcPr>
            <w:tcW w:w="1440" w:type="dxa"/>
          </w:tcPr>
          <w:p w14:paraId="7A82483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  <w:tc>
          <w:tcPr>
            <w:tcW w:w="1980" w:type="dxa"/>
          </w:tcPr>
          <w:p w14:paraId="7319179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3.26 (2.35–4.53)</w:t>
            </w:r>
          </w:p>
        </w:tc>
        <w:tc>
          <w:tcPr>
            <w:tcW w:w="990" w:type="dxa"/>
          </w:tcPr>
          <w:p w14:paraId="24AA9290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</w:tr>
      <w:tr w:rsidR="009D0371" w:rsidRPr="00F35E92" w14:paraId="31A4784B" w14:textId="77777777" w:rsidTr="00BE1F8A">
        <w:tc>
          <w:tcPr>
            <w:tcW w:w="2610" w:type="dxa"/>
          </w:tcPr>
          <w:p w14:paraId="33190178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4</w:t>
            </w:r>
            <w:r w:rsidRPr="00F35E92">
              <w:rPr>
                <w:rFonts w:ascii="Times New Roman" w:hAnsi="Times New Roman"/>
                <w:vertAlign w:val="superscript"/>
              </w:rPr>
              <w:t>th</w:t>
            </w:r>
            <w:r w:rsidRPr="00F35E92">
              <w:rPr>
                <w:rFonts w:ascii="Times New Roman" w:hAnsi="Times New Roman"/>
              </w:rPr>
              <w:t xml:space="preserve"> suPAR quartile </w:t>
            </w:r>
          </w:p>
        </w:tc>
        <w:tc>
          <w:tcPr>
            <w:tcW w:w="1890" w:type="dxa"/>
          </w:tcPr>
          <w:p w14:paraId="615A2C49" w14:textId="1564B594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 (0.94–1.44)</w:t>
            </w:r>
          </w:p>
        </w:tc>
        <w:tc>
          <w:tcPr>
            <w:tcW w:w="1890" w:type="dxa"/>
          </w:tcPr>
          <w:p w14:paraId="5B61E899" w14:textId="053ACB73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0.16</w:t>
            </w:r>
          </w:p>
        </w:tc>
        <w:tc>
          <w:tcPr>
            <w:tcW w:w="1890" w:type="dxa"/>
          </w:tcPr>
          <w:p w14:paraId="56252DFE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1.57 (1.35–1.82)</w:t>
            </w:r>
          </w:p>
        </w:tc>
        <w:tc>
          <w:tcPr>
            <w:tcW w:w="1440" w:type="dxa"/>
          </w:tcPr>
          <w:p w14:paraId="6B623F2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  <w:tc>
          <w:tcPr>
            <w:tcW w:w="1980" w:type="dxa"/>
          </w:tcPr>
          <w:p w14:paraId="331D2810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7.26 (5.34–9.87)</w:t>
            </w:r>
          </w:p>
        </w:tc>
        <w:tc>
          <w:tcPr>
            <w:tcW w:w="990" w:type="dxa"/>
          </w:tcPr>
          <w:p w14:paraId="0096BB8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&lt;0.0001</w:t>
            </w:r>
          </w:p>
        </w:tc>
      </w:tr>
      <w:tr w:rsidR="009D0371" w:rsidRPr="00F35E92" w14:paraId="24810EF8" w14:textId="77777777" w:rsidTr="00BE1F8A">
        <w:tc>
          <w:tcPr>
            <w:tcW w:w="2610" w:type="dxa"/>
          </w:tcPr>
          <w:p w14:paraId="0DA797B6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b/>
              </w:rPr>
            </w:pPr>
            <w:r w:rsidRPr="00F35E92">
              <w:rPr>
                <w:rFonts w:ascii="Times New Roman" w:hAnsi="Times New Roman"/>
                <w:b/>
              </w:rPr>
              <w:t xml:space="preserve">   Multivariable</w:t>
            </w:r>
          </w:p>
        </w:tc>
        <w:tc>
          <w:tcPr>
            <w:tcW w:w="1890" w:type="dxa"/>
          </w:tcPr>
          <w:p w14:paraId="7173E483" w14:textId="45785329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612716A" w14:textId="7BDE073C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0C959619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61AC0576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1F5A6B8B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ADC67A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9D0371" w:rsidRPr="00F35E92" w14:paraId="4D669B4C" w14:textId="77777777" w:rsidTr="00BE1F8A">
        <w:tc>
          <w:tcPr>
            <w:tcW w:w="2610" w:type="dxa"/>
          </w:tcPr>
          <w:p w14:paraId="0627F479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Continuous suPAR</w:t>
            </w:r>
          </w:p>
        </w:tc>
        <w:tc>
          <w:tcPr>
            <w:tcW w:w="1890" w:type="dxa"/>
          </w:tcPr>
          <w:p w14:paraId="45DA7829" w14:textId="011078B9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1.02 (0.91–1.16)</w:t>
            </w:r>
          </w:p>
        </w:tc>
        <w:tc>
          <w:tcPr>
            <w:tcW w:w="1890" w:type="dxa"/>
          </w:tcPr>
          <w:p w14:paraId="69408B31" w14:textId="6FF3F163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0.70</w:t>
            </w:r>
          </w:p>
        </w:tc>
        <w:tc>
          <w:tcPr>
            <w:tcW w:w="1890" w:type="dxa"/>
          </w:tcPr>
          <w:p w14:paraId="6C28CFE2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1.28 (1.17–1.39)</w:t>
            </w:r>
          </w:p>
        </w:tc>
        <w:tc>
          <w:tcPr>
            <w:tcW w:w="1440" w:type="dxa"/>
          </w:tcPr>
          <w:p w14:paraId="74BBFF51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&lt;0.0001</w:t>
            </w:r>
          </w:p>
        </w:tc>
        <w:tc>
          <w:tcPr>
            <w:tcW w:w="1980" w:type="dxa"/>
          </w:tcPr>
          <w:p w14:paraId="6B3ECE1E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2.01 (1.75–2.29)</w:t>
            </w:r>
          </w:p>
        </w:tc>
        <w:tc>
          <w:tcPr>
            <w:tcW w:w="990" w:type="dxa"/>
          </w:tcPr>
          <w:p w14:paraId="6376534D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&lt;0.0001</w:t>
            </w:r>
          </w:p>
        </w:tc>
      </w:tr>
      <w:tr w:rsidR="009D0371" w:rsidRPr="00F35E92" w14:paraId="4B334FAA" w14:textId="77777777" w:rsidTr="00BE1F8A">
        <w:tc>
          <w:tcPr>
            <w:tcW w:w="2610" w:type="dxa"/>
          </w:tcPr>
          <w:p w14:paraId="746082C8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1</w:t>
            </w:r>
            <w:r w:rsidRPr="00F35E92">
              <w:rPr>
                <w:rFonts w:ascii="Times New Roman" w:hAnsi="Times New Roman"/>
                <w:vertAlign w:val="superscript"/>
              </w:rPr>
              <w:t>st</w:t>
            </w:r>
            <w:r w:rsidRPr="00F35E92">
              <w:rPr>
                <w:rFonts w:ascii="Times New Roman" w:hAnsi="Times New Roman"/>
              </w:rPr>
              <w:t xml:space="preserve"> suPAR quartile</w:t>
            </w:r>
            <w:r w:rsidRPr="00F35E92"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1890" w:type="dxa"/>
          </w:tcPr>
          <w:p w14:paraId="35861A22" w14:textId="0FCE9F19" w:rsidR="009D0371" w:rsidRPr="00F35E92" w:rsidRDefault="00D75567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890" w:type="dxa"/>
          </w:tcPr>
          <w:p w14:paraId="74A55E58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90" w:type="dxa"/>
          </w:tcPr>
          <w:p w14:paraId="07214790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40" w:type="dxa"/>
          </w:tcPr>
          <w:p w14:paraId="22C320E0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0" w:type="dxa"/>
          </w:tcPr>
          <w:p w14:paraId="32D108BE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990" w:type="dxa"/>
          </w:tcPr>
          <w:p w14:paraId="184932EC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</w:p>
        </w:tc>
      </w:tr>
      <w:tr w:rsidR="009D0371" w:rsidRPr="00F35E92" w14:paraId="0E0FA032" w14:textId="77777777" w:rsidTr="00BE1F8A">
        <w:tc>
          <w:tcPr>
            <w:tcW w:w="2610" w:type="dxa"/>
          </w:tcPr>
          <w:p w14:paraId="0A8414FD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2</w:t>
            </w:r>
            <w:r w:rsidRPr="00F35E92">
              <w:rPr>
                <w:rFonts w:ascii="Times New Roman" w:hAnsi="Times New Roman"/>
                <w:vertAlign w:val="superscript"/>
              </w:rPr>
              <w:t>nd</w:t>
            </w:r>
            <w:r w:rsidRPr="00F35E92">
              <w:rPr>
                <w:rFonts w:ascii="Times New Roman" w:hAnsi="Times New Roman"/>
              </w:rPr>
              <w:t xml:space="preserve"> suPAR quartile</w:t>
            </w:r>
          </w:p>
        </w:tc>
        <w:tc>
          <w:tcPr>
            <w:tcW w:w="1890" w:type="dxa"/>
          </w:tcPr>
          <w:p w14:paraId="0825D46D" w14:textId="26DD7254" w:rsidR="009D0371" w:rsidRPr="00F35E92" w:rsidRDefault="00D75567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0.88 (0.69–1.12)</w:t>
            </w:r>
          </w:p>
        </w:tc>
        <w:tc>
          <w:tcPr>
            <w:tcW w:w="1890" w:type="dxa"/>
          </w:tcPr>
          <w:p w14:paraId="2E531B03" w14:textId="0CF05F09" w:rsidR="009D0371" w:rsidRPr="00F35E92" w:rsidRDefault="00D75567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0.29</w:t>
            </w:r>
          </w:p>
        </w:tc>
        <w:tc>
          <w:tcPr>
            <w:tcW w:w="1890" w:type="dxa"/>
          </w:tcPr>
          <w:p w14:paraId="45400B8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1.08 (0.91–1.28)</w:t>
            </w:r>
          </w:p>
        </w:tc>
        <w:tc>
          <w:tcPr>
            <w:tcW w:w="1440" w:type="dxa"/>
          </w:tcPr>
          <w:p w14:paraId="4506C77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0.40</w:t>
            </w:r>
          </w:p>
        </w:tc>
        <w:tc>
          <w:tcPr>
            <w:tcW w:w="1980" w:type="dxa"/>
          </w:tcPr>
          <w:p w14:paraId="301E9AB0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1.86 (1.21–2.87)</w:t>
            </w:r>
          </w:p>
        </w:tc>
        <w:tc>
          <w:tcPr>
            <w:tcW w:w="990" w:type="dxa"/>
          </w:tcPr>
          <w:p w14:paraId="21211AD8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0.0050</w:t>
            </w:r>
          </w:p>
        </w:tc>
      </w:tr>
      <w:tr w:rsidR="009D0371" w:rsidRPr="00F35E92" w14:paraId="6B115966" w14:textId="77777777" w:rsidTr="00BE1F8A">
        <w:tc>
          <w:tcPr>
            <w:tcW w:w="2610" w:type="dxa"/>
          </w:tcPr>
          <w:p w14:paraId="08815BD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3</w:t>
            </w:r>
            <w:r w:rsidRPr="00F35E92">
              <w:rPr>
                <w:rFonts w:ascii="Times New Roman" w:hAnsi="Times New Roman"/>
                <w:vertAlign w:val="superscript"/>
              </w:rPr>
              <w:t>rd</w:t>
            </w:r>
            <w:r w:rsidRPr="00F35E92">
              <w:rPr>
                <w:rFonts w:ascii="Times New Roman" w:hAnsi="Times New Roman"/>
              </w:rPr>
              <w:t xml:space="preserve"> suPAR quartile </w:t>
            </w:r>
          </w:p>
        </w:tc>
        <w:tc>
          <w:tcPr>
            <w:tcW w:w="1890" w:type="dxa"/>
          </w:tcPr>
          <w:p w14:paraId="65ACC0A9" w14:textId="3322CD33" w:rsidR="009D0371" w:rsidRPr="00F35E92" w:rsidRDefault="00D75567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1.06 (0.84–1.34)</w:t>
            </w:r>
          </w:p>
        </w:tc>
        <w:tc>
          <w:tcPr>
            <w:tcW w:w="1890" w:type="dxa"/>
          </w:tcPr>
          <w:p w14:paraId="2F67FBC5" w14:textId="3BF1CA65" w:rsidR="009D0371" w:rsidRPr="00F35E92" w:rsidRDefault="00D75567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0.62</w:t>
            </w:r>
          </w:p>
        </w:tc>
        <w:tc>
          <w:tcPr>
            <w:tcW w:w="1890" w:type="dxa"/>
          </w:tcPr>
          <w:p w14:paraId="43328F61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1.38 (1.16–1.63)</w:t>
            </w:r>
          </w:p>
        </w:tc>
        <w:tc>
          <w:tcPr>
            <w:tcW w:w="1440" w:type="dxa"/>
          </w:tcPr>
          <w:p w14:paraId="05B35BC7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0.0003</w:t>
            </w:r>
          </w:p>
        </w:tc>
        <w:tc>
          <w:tcPr>
            <w:tcW w:w="1980" w:type="dxa"/>
          </w:tcPr>
          <w:p w14:paraId="4CD4851C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2.54 (1.68–3.83)</w:t>
            </w:r>
          </w:p>
        </w:tc>
        <w:tc>
          <w:tcPr>
            <w:tcW w:w="990" w:type="dxa"/>
          </w:tcPr>
          <w:p w14:paraId="1003564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&lt;0.0001</w:t>
            </w:r>
          </w:p>
        </w:tc>
      </w:tr>
      <w:tr w:rsidR="009D0371" w:rsidRPr="00F35E92" w14:paraId="5870F31E" w14:textId="77777777" w:rsidTr="00BE1F8A">
        <w:tc>
          <w:tcPr>
            <w:tcW w:w="2610" w:type="dxa"/>
            <w:tcBorders>
              <w:bottom w:val="single" w:sz="4" w:space="0" w:color="auto"/>
            </w:tcBorders>
          </w:tcPr>
          <w:p w14:paraId="139F9113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 xml:space="preserve">      4</w:t>
            </w:r>
            <w:r w:rsidRPr="00F35E92">
              <w:rPr>
                <w:rFonts w:ascii="Times New Roman" w:hAnsi="Times New Roman"/>
                <w:vertAlign w:val="superscript"/>
              </w:rPr>
              <w:t>th</w:t>
            </w:r>
            <w:r w:rsidRPr="00F35E92">
              <w:rPr>
                <w:rFonts w:ascii="Times New Roman" w:hAnsi="Times New Roman"/>
              </w:rPr>
              <w:t xml:space="preserve"> suPAR quartile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B8D327B" w14:textId="1833B987" w:rsidR="009D0371" w:rsidRPr="00F35E92" w:rsidRDefault="00D75567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0.99 (0.77–1.27)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2D69BCF" w14:textId="23C8F454" w:rsidR="009D0371" w:rsidRPr="00F35E92" w:rsidRDefault="00D75567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0.91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E24293F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1.54 (1.29–1.83)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C4F0F9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&lt;0.0001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0159BB9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4.57 (3.07–6.79)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803E4E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  <w:szCs w:val="20"/>
              </w:rPr>
            </w:pPr>
            <w:r w:rsidRPr="00F35E92">
              <w:rPr>
                <w:rFonts w:ascii="Times New Roman" w:hAnsi="Times New Roman"/>
                <w:szCs w:val="20"/>
              </w:rPr>
              <w:t>&lt;0.0001</w:t>
            </w:r>
          </w:p>
        </w:tc>
      </w:tr>
      <w:tr w:rsidR="009D0371" w:rsidRPr="00F35E92" w14:paraId="20685139" w14:textId="77777777" w:rsidTr="00BE1F8A">
        <w:tc>
          <w:tcPr>
            <w:tcW w:w="126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2B9C2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*Adjusted for age, sex, Charlson score, suPAR, blood eosinophil count, and C-reactive protein.</w:t>
            </w:r>
          </w:p>
          <w:p w14:paraId="2411ED8B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†Cut-offs for the suPAR quartiles: Q1: &lt;2.9 ng/ml (n=980, 24.4%), Q2: 2.9–3.8 ng/ml (n=1,003, 24.9%), Q3: 3.9–5.5 ng/ml (n=1,014, 25.2%), Q4: ≥5.6 ng/ml (n=1,025, 25.5%).</w:t>
            </w:r>
          </w:p>
          <w:p w14:paraId="5ED2A684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CI – Confidence interval</w:t>
            </w:r>
          </w:p>
          <w:p w14:paraId="524B06F2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COPD – Chronic obstructive pulmonary disease</w:t>
            </w:r>
          </w:p>
          <w:p w14:paraId="23564875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HR –Hazard ratio</w:t>
            </w:r>
          </w:p>
          <w:p w14:paraId="4026827A" w14:textId="77777777" w:rsidR="009D0371" w:rsidRPr="00F35E92" w:rsidRDefault="009D0371" w:rsidP="009D0371">
            <w:pPr>
              <w:pStyle w:val="Ingenafstand"/>
              <w:rPr>
                <w:rFonts w:ascii="Times New Roman" w:hAnsi="Times New Roman"/>
              </w:rPr>
            </w:pPr>
            <w:r w:rsidRPr="00F35E92">
              <w:rPr>
                <w:rFonts w:ascii="Times New Roman" w:hAnsi="Times New Roman"/>
              </w:rPr>
              <w:t>suPAR – Soluble urokinase plasminogen activator receptor</w:t>
            </w:r>
          </w:p>
        </w:tc>
      </w:tr>
    </w:tbl>
    <w:p w14:paraId="1DAE068C" w14:textId="77777777" w:rsidR="00DE74AB" w:rsidRDefault="00DE74AB" w:rsidP="00357AAA">
      <w:pPr>
        <w:outlineLvl w:val="0"/>
        <w:rPr>
          <w:bCs/>
        </w:rPr>
        <w:sectPr w:rsidR="00DE74AB" w:rsidSect="008F5265">
          <w:pgSz w:w="16840" w:h="11907" w:orient="landscape" w:code="9"/>
          <w:pgMar w:top="432" w:right="720" w:bottom="432" w:left="720" w:header="706" w:footer="706" w:gutter="0"/>
          <w:paperSrc w:first="15" w:other="15"/>
          <w:cols w:space="708"/>
          <w:titlePg/>
          <w:docGrid w:linePitch="360"/>
        </w:sectPr>
      </w:pPr>
    </w:p>
    <w:tbl>
      <w:tblPr>
        <w:tblStyle w:val="Tabel-Gitter1"/>
        <w:tblW w:w="126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890"/>
        <w:gridCol w:w="1890"/>
        <w:gridCol w:w="1890"/>
        <w:gridCol w:w="1440"/>
        <w:gridCol w:w="1980"/>
        <w:gridCol w:w="990"/>
      </w:tblGrid>
      <w:tr w:rsidR="008E50F5" w:rsidRPr="00625877" w14:paraId="19164E38" w14:textId="77777777" w:rsidTr="00BE1F8A">
        <w:tc>
          <w:tcPr>
            <w:tcW w:w="12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B2EFD" w14:textId="26622929" w:rsidR="008E50F5" w:rsidRPr="008E50F5" w:rsidRDefault="008E50F5" w:rsidP="00BE1F8A">
            <w:pPr>
              <w:pStyle w:val="Ingenafstan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Supplementary Table 2</w:t>
            </w:r>
            <w:r w:rsidR="000036A5">
              <w:rPr>
                <w:rFonts w:ascii="Times New Roman" w:hAnsi="Times New Roman"/>
                <w:b/>
              </w:rPr>
              <w:t>:</w:t>
            </w:r>
            <w:r w:rsidRPr="008E50F5">
              <w:rPr>
                <w:rFonts w:ascii="Times New Roman" w:hAnsi="Times New Roman"/>
                <w:b/>
              </w:rPr>
              <w:t xml:space="preserve"> </w:t>
            </w:r>
            <w:r w:rsidRPr="008E50F5">
              <w:rPr>
                <w:rFonts w:ascii="Times New Roman" w:hAnsi="Times New Roman"/>
              </w:rPr>
              <w:t>HRs for readmission and mortality within 30</w:t>
            </w:r>
            <w:r w:rsidR="000036A5">
              <w:rPr>
                <w:rFonts w:ascii="Times New Roman" w:hAnsi="Times New Roman"/>
              </w:rPr>
              <w:t>-</w:t>
            </w:r>
            <w:r w:rsidRPr="008E50F5">
              <w:rPr>
                <w:rFonts w:ascii="Times New Roman" w:hAnsi="Times New Roman"/>
              </w:rPr>
              <w:t xml:space="preserve"> or 90</w:t>
            </w:r>
            <w:r w:rsidR="000036A5">
              <w:rPr>
                <w:rFonts w:ascii="Times New Roman" w:hAnsi="Times New Roman"/>
              </w:rPr>
              <w:t>-</w:t>
            </w:r>
            <w:r w:rsidRPr="008E50F5">
              <w:rPr>
                <w:rFonts w:ascii="Times New Roman" w:hAnsi="Times New Roman"/>
              </w:rPr>
              <w:t>days following hospitalization in patients with COPD (n=3,849), for continuous blood eosinophil count (log2-transformed) or stratified by low, intermediate, and high blood eosinophil count.</w:t>
            </w:r>
          </w:p>
        </w:tc>
      </w:tr>
      <w:tr w:rsidR="008E50F5" w:rsidRPr="00625877" w14:paraId="4900B2FC" w14:textId="77777777" w:rsidTr="00BE1F8A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37790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  <w:b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E9225" w14:textId="77777777" w:rsidR="008E50F5" w:rsidRPr="008E50F5" w:rsidRDefault="008E50F5" w:rsidP="00BE1F8A">
            <w:pPr>
              <w:pStyle w:val="Ingenafstand"/>
              <w:jc w:val="center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>Respiratory Readmission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9968B" w14:textId="77777777" w:rsidR="008E50F5" w:rsidRPr="008E50F5" w:rsidRDefault="008E50F5" w:rsidP="00BE1F8A">
            <w:pPr>
              <w:pStyle w:val="Ingenafstand"/>
              <w:jc w:val="center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>All-cause Readmission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12B23" w14:textId="77777777" w:rsidR="008E50F5" w:rsidRPr="008E50F5" w:rsidRDefault="008E50F5" w:rsidP="00BE1F8A">
            <w:pPr>
              <w:pStyle w:val="Ingenafstand"/>
              <w:jc w:val="center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>Mortality</w:t>
            </w:r>
          </w:p>
        </w:tc>
      </w:tr>
      <w:tr w:rsidR="008E50F5" w:rsidRPr="00625877" w14:paraId="1B784D5C" w14:textId="77777777" w:rsidTr="00BE1F8A"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F3C26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3460A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HR (95% CI)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2A500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P-value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0FA1E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HR (95% CI)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83A54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P-value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24B83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HR (95% CI)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78D66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P-value</w:t>
            </w:r>
          </w:p>
        </w:tc>
      </w:tr>
      <w:tr w:rsidR="008E50F5" w:rsidRPr="00625877" w14:paraId="3AAB85E3" w14:textId="77777777" w:rsidTr="00BE1F8A">
        <w:tc>
          <w:tcPr>
            <w:tcW w:w="12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C8AF3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>30-day follow-up</w:t>
            </w:r>
          </w:p>
        </w:tc>
      </w:tr>
      <w:tr w:rsidR="008E50F5" w:rsidRPr="00625877" w14:paraId="3959947F" w14:textId="77777777" w:rsidTr="00BE1F8A">
        <w:tc>
          <w:tcPr>
            <w:tcW w:w="2610" w:type="dxa"/>
          </w:tcPr>
          <w:p w14:paraId="613C27CF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 xml:space="preserve">   Unadjusted</w:t>
            </w:r>
          </w:p>
        </w:tc>
        <w:tc>
          <w:tcPr>
            <w:tcW w:w="1890" w:type="dxa"/>
          </w:tcPr>
          <w:p w14:paraId="5BD021F0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5AB2EA0C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CC9C3D9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036B2E7B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41E2E592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88DF76B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8E50F5" w:rsidRPr="00625877" w14:paraId="346284A5" w14:textId="77777777" w:rsidTr="00BE1F8A">
        <w:tc>
          <w:tcPr>
            <w:tcW w:w="2610" w:type="dxa"/>
          </w:tcPr>
          <w:p w14:paraId="3CA290B2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Continuous</w:t>
            </w:r>
          </w:p>
        </w:tc>
        <w:tc>
          <w:tcPr>
            <w:tcW w:w="1890" w:type="dxa"/>
          </w:tcPr>
          <w:p w14:paraId="4395DE39" w14:textId="68FA1F2B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1.00 (0.94–1.06)</w:t>
            </w:r>
          </w:p>
        </w:tc>
        <w:tc>
          <w:tcPr>
            <w:tcW w:w="1890" w:type="dxa"/>
          </w:tcPr>
          <w:p w14:paraId="677AF736" w14:textId="0AD8F045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0.99</w:t>
            </w:r>
          </w:p>
        </w:tc>
        <w:tc>
          <w:tcPr>
            <w:tcW w:w="1890" w:type="dxa"/>
          </w:tcPr>
          <w:p w14:paraId="736ACFE5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0.97 (0.93–1.01)</w:t>
            </w:r>
          </w:p>
        </w:tc>
        <w:tc>
          <w:tcPr>
            <w:tcW w:w="1440" w:type="dxa"/>
          </w:tcPr>
          <w:p w14:paraId="63B67901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0.16</w:t>
            </w:r>
          </w:p>
        </w:tc>
        <w:tc>
          <w:tcPr>
            <w:tcW w:w="1980" w:type="dxa"/>
          </w:tcPr>
          <w:p w14:paraId="6A4CFC18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0.75 (0.70–0.80)</w:t>
            </w:r>
          </w:p>
        </w:tc>
        <w:tc>
          <w:tcPr>
            <w:tcW w:w="990" w:type="dxa"/>
          </w:tcPr>
          <w:p w14:paraId="267011AB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8E50F5" w:rsidRPr="00625877" w14:paraId="5C4835BA" w14:textId="77777777" w:rsidTr="00BE1F8A">
        <w:tc>
          <w:tcPr>
            <w:tcW w:w="2610" w:type="dxa"/>
          </w:tcPr>
          <w:p w14:paraId="42877845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Low</w:t>
            </w:r>
            <w:r w:rsidRPr="008E50F5">
              <w:rPr>
                <w:rFonts w:ascii="Times New Roman" w:hAnsi="Times New Roman"/>
                <w:vertAlign w:val="superscript"/>
              </w:rPr>
              <w:t>‡</w:t>
            </w:r>
          </w:p>
        </w:tc>
        <w:tc>
          <w:tcPr>
            <w:tcW w:w="1890" w:type="dxa"/>
          </w:tcPr>
          <w:p w14:paraId="621DD019" w14:textId="029B3BC2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90" w:type="dxa"/>
          </w:tcPr>
          <w:p w14:paraId="2CC5318A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14:paraId="240A4889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40" w:type="dxa"/>
          </w:tcPr>
          <w:p w14:paraId="398D7B99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3CB6F88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14:paraId="2E826ACE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8E50F5" w:rsidRPr="00625877" w14:paraId="7A2E4483" w14:textId="77777777" w:rsidTr="00BE1F8A">
        <w:tc>
          <w:tcPr>
            <w:tcW w:w="2610" w:type="dxa"/>
          </w:tcPr>
          <w:p w14:paraId="5942190E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Intermediate</w:t>
            </w:r>
          </w:p>
        </w:tc>
        <w:tc>
          <w:tcPr>
            <w:tcW w:w="1890" w:type="dxa"/>
          </w:tcPr>
          <w:p w14:paraId="57C80AEC" w14:textId="5AE04F8D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1.04 (0.82–1.31)</w:t>
            </w:r>
          </w:p>
        </w:tc>
        <w:tc>
          <w:tcPr>
            <w:tcW w:w="1890" w:type="dxa"/>
          </w:tcPr>
          <w:p w14:paraId="3057DB99" w14:textId="05152508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0.74</w:t>
            </w:r>
          </w:p>
        </w:tc>
        <w:tc>
          <w:tcPr>
            <w:tcW w:w="1890" w:type="dxa"/>
          </w:tcPr>
          <w:p w14:paraId="35904A95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0.96 (0.81–1.12)</w:t>
            </w:r>
          </w:p>
        </w:tc>
        <w:tc>
          <w:tcPr>
            <w:tcW w:w="1440" w:type="dxa"/>
          </w:tcPr>
          <w:p w14:paraId="7B8A1356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0.58</w:t>
            </w:r>
          </w:p>
        </w:tc>
        <w:tc>
          <w:tcPr>
            <w:tcW w:w="1980" w:type="dxa"/>
          </w:tcPr>
          <w:p w14:paraId="7B14C8F1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0.39 (0.29–0.54)</w:t>
            </w:r>
          </w:p>
        </w:tc>
        <w:tc>
          <w:tcPr>
            <w:tcW w:w="990" w:type="dxa"/>
          </w:tcPr>
          <w:p w14:paraId="676DCBBF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8E50F5" w:rsidRPr="00625877" w14:paraId="26D4C490" w14:textId="77777777" w:rsidTr="00BE1F8A">
        <w:tc>
          <w:tcPr>
            <w:tcW w:w="2610" w:type="dxa"/>
          </w:tcPr>
          <w:p w14:paraId="5C074588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High </w:t>
            </w:r>
          </w:p>
        </w:tc>
        <w:tc>
          <w:tcPr>
            <w:tcW w:w="1890" w:type="dxa"/>
          </w:tcPr>
          <w:p w14:paraId="1E035AA2" w14:textId="3DAE8CD7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1.00 (0.76–1.32)</w:t>
            </w:r>
          </w:p>
        </w:tc>
        <w:tc>
          <w:tcPr>
            <w:tcW w:w="1890" w:type="dxa"/>
          </w:tcPr>
          <w:p w14:paraId="01B8C5BB" w14:textId="7FC54D17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0.98</w:t>
            </w:r>
          </w:p>
        </w:tc>
        <w:tc>
          <w:tcPr>
            <w:tcW w:w="1890" w:type="dxa"/>
          </w:tcPr>
          <w:p w14:paraId="28865859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0.90 (0.74–1.09)</w:t>
            </w:r>
          </w:p>
        </w:tc>
        <w:tc>
          <w:tcPr>
            <w:tcW w:w="1440" w:type="dxa"/>
          </w:tcPr>
          <w:p w14:paraId="44F817C4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0.26</w:t>
            </w:r>
          </w:p>
        </w:tc>
        <w:tc>
          <w:tcPr>
            <w:tcW w:w="1980" w:type="dxa"/>
          </w:tcPr>
          <w:p w14:paraId="7CB484FA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0.23 (0.14–0.37)</w:t>
            </w:r>
          </w:p>
        </w:tc>
        <w:tc>
          <w:tcPr>
            <w:tcW w:w="990" w:type="dxa"/>
          </w:tcPr>
          <w:p w14:paraId="345E75AA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8E50F5" w:rsidRPr="00625877" w14:paraId="602EE966" w14:textId="77777777" w:rsidTr="00BE1F8A">
        <w:tc>
          <w:tcPr>
            <w:tcW w:w="12690" w:type="dxa"/>
            <w:gridSpan w:val="7"/>
          </w:tcPr>
          <w:p w14:paraId="4B859EEE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 xml:space="preserve">   Multivariable</w:t>
            </w:r>
            <w:r w:rsidRPr="008E50F5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8E50F5" w:rsidRPr="00625877" w14:paraId="1E2237F7" w14:textId="77777777" w:rsidTr="00BE1F8A">
        <w:tc>
          <w:tcPr>
            <w:tcW w:w="2610" w:type="dxa"/>
          </w:tcPr>
          <w:p w14:paraId="02BCDF33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Continuous</w:t>
            </w:r>
          </w:p>
        </w:tc>
        <w:tc>
          <w:tcPr>
            <w:tcW w:w="1890" w:type="dxa"/>
          </w:tcPr>
          <w:p w14:paraId="22CB65A5" w14:textId="6A5E857B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1.02 (0.95–1.09)</w:t>
            </w:r>
          </w:p>
        </w:tc>
        <w:tc>
          <w:tcPr>
            <w:tcW w:w="1890" w:type="dxa"/>
          </w:tcPr>
          <w:p w14:paraId="700734AC" w14:textId="10B8378A" w:rsidR="008E50F5" w:rsidRPr="008E50F5" w:rsidRDefault="00D7556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0.61</w:t>
            </w:r>
          </w:p>
        </w:tc>
        <w:tc>
          <w:tcPr>
            <w:tcW w:w="1890" w:type="dxa"/>
          </w:tcPr>
          <w:p w14:paraId="5F7C9122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0.98 (0.94–1.02)</w:t>
            </w:r>
          </w:p>
        </w:tc>
        <w:tc>
          <w:tcPr>
            <w:tcW w:w="1440" w:type="dxa"/>
          </w:tcPr>
          <w:p w14:paraId="48D8BFDC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0.33</w:t>
            </w:r>
          </w:p>
        </w:tc>
        <w:tc>
          <w:tcPr>
            <w:tcW w:w="1980" w:type="dxa"/>
          </w:tcPr>
          <w:p w14:paraId="3E453416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0.80 (0.74–0.86)</w:t>
            </w:r>
          </w:p>
        </w:tc>
        <w:tc>
          <w:tcPr>
            <w:tcW w:w="990" w:type="dxa"/>
          </w:tcPr>
          <w:p w14:paraId="7FEC0FAC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8E50F5" w:rsidRPr="00625877" w14:paraId="5E5B50A7" w14:textId="77777777" w:rsidTr="00BE1F8A">
        <w:tc>
          <w:tcPr>
            <w:tcW w:w="2610" w:type="dxa"/>
          </w:tcPr>
          <w:p w14:paraId="21C9C996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Low</w:t>
            </w:r>
            <w:r w:rsidRPr="008E50F5">
              <w:rPr>
                <w:rFonts w:ascii="Times New Roman" w:hAnsi="Times New Roman"/>
                <w:vertAlign w:val="superscript"/>
              </w:rPr>
              <w:t>‡</w:t>
            </w:r>
          </w:p>
        </w:tc>
        <w:tc>
          <w:tcPr>
            <w:tcW w:w="1890" w:type="dxa"/>
          </w:tcPr>
          <w:p w14:paraId="55474493" w14:textId="7F024C1F" w:rsidR="008E50F5" w:rsidRPr="008E50F5" w:rsidRDefault="00C97D07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90" w:type="dxa"/>
          </w:tcPr>
          <w:p w14:paraId="2A1EA760" w14:textId="032008E8" w:rsidR="008E50F5" w:rsidRPr="008E50F5" w:rsidRDefault="008E50F5" w:rsidP="00BE1F8A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14:paraId="7507DDE5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40" w:type="dxa"/>
          </w:tcPr>
          <w:p w14:paraId="49D89A18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159C66F5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14:paraId="2C268F7C" w14:textId="77777777" w:rsidR="008E50F5" w:rsidRPr="008E50F5" w:rsidRDefault="008E50F5" w:rsidP="00BE1F8A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C97D07" w:rsidRPr="00625877" w14:paraId="3ED4B3E3" w14:textId="77777777" w:rsidTr="00BE1F8A">
        <w:tc>
          <w:tcPr>
            <w:tcW w:w="2610" w:type="dxa"/>
          </w:tcPr>
          <w:p w14:paraId="7031F0E1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Intermediate</w:t>
            </w:r>
          </w:p>
        </w:tc>
        <w:tc>
          <w:tcPr>
            <w:tcW w:w="1890" w:type="dxa"/>
          </w:tcPr>
          <w:p w14:paraId="46F2DC40" w14:textId="4954D937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1.06 (0.83–1.35)</w:t>
            </w:r>
          </w:p>
        </w:tc>
        <w:tc>
          <w:tcPr>
            <w:tcW w:w="1890" w:type="dxa"/>
          </w:tcPr>
          <w:p w14:paraId="6DF86E78" w14:textId="571DF2E3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0.65</w:t>
            </w:r>
          </w:p>
        </w:tc>
        <w:tc>
          <w:tcPr>
            <w:tcW w:w="1890" w:type="dxa"/>
          </w:tcPr>
          <w:p w14:paraId="6EB2EF0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0.95 (0.81–1.13)</w:t>
            </w:r>
          </w:p>
        </w:tc>
        <w:tc>
          <w:tcPr>
            <w:tcW w:w="1440" w:type="dxa"/>
          </w:tcPr>
          <w:p w14:paraId="618895B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0.57</w:t>
            </w:r>
          </w:p>
        </w:tc>
        <w:tc>
          <w:tcPr>
            <w:tcW w:w="1980" w:type="dxa"/>
          </w:tcPr>
          <w:p w14:paraId="4FE473E8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0.48 (0.35–0.66)</w:t>
            </w:r>
          </w:p>
        </w:tc>
        <w:tc>
          <w:tcPr>
            <w:tcW w:w="990" w:type="dxa"/>
          </w:tcPr>
          <w:p w14:paraId="0A3F70BD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C97D07" w:rsidRPr="00625877" w14:paraId="15E7A1F6" w14:textId="77777777" w:rsidTr="00BE1F8A">
        <w:tc>
          <w:tcPr>
            <w:tcW w:w="2610" w:type="dxa"/>
          </w:tcPr>
          <w:p w14:paraId="0105F24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High </w:t>
            </w:r>
          </w:p>
        </w:tc>
        <w:tc>
          <w:tcPr>
            <w:tcW w:w="1890" w:type="dxa"/>
          </w:tcPr>
          <w:p w14:paraId="5C2BFCA2" w14:textId="33B2713B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1.07 (0.81–1.41)</w:t>
            </w:r>
          </w:p>
        </w:tc>
        <w:tc>
          <w:tcPr>
            <w:tcW w:w="1890" w:type="dxa"/>
          </w:tcPr>
          <w:p w14:paraId="1E87BC34" w14:textId="5FAEA7A5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0.65</w:t>
            </w:r>
          </w:p>
        </w:tc>
        <w:tc>
          <w:tcPr>
            <w:tcW w:w="1890" w:type="dxa"/>
          </w:tcPr>
          <w:p w14:paraId="584BE4AA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0.91 (0.75–1.11)</w:t>
            </w:r>
          </w:p>
        </w:tc>
        <w:tc>
          <w:tcPr>
            <w:tcW w:w="1440" w:type="dxa"/>
          </w:tcPr>
          <w:p w14:paraId="72903C6D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0.34</w:t>
            </w:r>
          </w:p>
        </w:tc>
        <w:tc>
          <w:tcPr>
            <w:tcW w:w="1980" w:type="dxa"/>
          </w:tcPr>
          <w:p w14:paraId="226B064E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0.33 (0.20–0.54)</w:t>
            </w:r>
          </w:p>
        </w:tc>
        <w:tc>
          <w:tcPr>
            <w:tcW w:w="990" w:type="dxa"/>
          </w:tcPr>
          <w:p w14:paraId="7EDD969B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C97D07" w:rsidRPr="00625877" w14:paraId="4349A5BB" w14:textId="77777777" w:rsidTr="00BE1F8A">
        <w:tc>
          <w:tcPr>
            <w:tcW w:w="2610" w:type="dxa"/>
          </w:tcPr>
          <w:p w14:paraId="723D1256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>90-days follow-up</w:t>
            </w:r>
          </w:p>
        </w:tc>
        <w:tc>
          <w:tcPr>
            <w:tcW w:w="1890" w:type="dxa"/>
          </w:tcPr>
          <w:p w14:paraId="2BF56162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FA5B50E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131FCCBB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45FDD21D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35727482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2EC6E21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C97D07" w:rsidRPr="00625877" w14:paraId="3BE09EF8" w14:textId="77777777" w:rsidTr="00BE1F8A">
        <w:tc>
          <w:tcPr>
            <w:tcW w:w="2610" w:type="dxa"/>
          </w:tcPr>
          <w:p w14:paraId="7B67C42F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 xml:space="preserve">   Unadjusted</w:t>
            </w:r>
          </w:p>
        </w:tc>
        <w:tc>
          <w:tcPr>
            <w:tcW w:w="1890" w:type="dxa"/>
          </w:tcPr>
          <w:p w14:paraId="56DE3A55" w14:textId="64FBBB26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2670A114" w14:textId="5287FA5F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49E039B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3A12AC7F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79705282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651A454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C97D07" w:rsidRPr="00625877" w14:paraId="020DB82F" w14:textId="77777777" w:rsidTr="00BE1F8A">
        <w:tc>
          <w:tcPr>
            <w:tcW w:w="2610" w:type="dxa"/>
          </w:tcPr>
          <w:p w14:paraId="333F525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Continuous </w:t>
            </w:r>
          </w:p>
        </w:tc>
        <w:tc>
          <w:tcPr>
            <w:tcW w:w="1890" w:type="dxa"/>
          </w:tcPr>
          <w:p w14:paraId="1F46503C" w14:textId="39C19704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1.00 (0.96–1.05)</w:t>
            </w:r>
          </w:p>
        </w:tc>
        <w:tc>
          <w:tcPr>
            <w:tcW w:w="1890" w:type="dxa"/>
          </w:tcPr>
          <w:p w14:paraId="6780E0F7" w14:textId="52CB551C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0.91</w:t>
            </w:r>
          </w:p>
        </w:tc>
        <w:tc>
          <w:tcPr>
            <w:tcW w:w="1890" w:type="dxa"/>
          </w:tcPr>
          <w:p w14:paraId="5643556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0.97 (0.94–1.00)</w:t>
            </w:r>
          </w:p>
        </w:tc>
        <w:tc>
          <w:tcPr>
            <w:tcW w:w="1440" w:type="dxa"/>
          </w:tcPr>
          <w:p w14:paraId="702FF29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0.081</w:t>
            </w:r>
          </w:p>
        </w:tc>
        <w:tc>
          <w:tcPr>
            <w:tcW w:w="1980" w:type="dxa"/>
          </w:tcPr>
          <w:p w14:paraId="7A7A37BC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0.79 (0.75–0.84)</w:t>
            </w:r>
          </w:p>
        </w:tc>
        <w:tc>
          <w:tcPr>
            <w:tcW w:w="990" w:type="dxa"/>
          </w:tcPr>
          <w:p w14:paraId="3DB92002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C97D07" w:rsidRPr="00625877" w14:paraId="7C9DE0C8" w14:textId="77777777" w:rsidTr="00BE1F8A">
        <w:tc>
          <w:tcPr>
            <w:tcW w:w="2610" w:type="dxa"/>
          </w:tcPr>
          <w:p w14:paraId="635F932D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Low</w:t>
            </w:r>
            <w:r w:rsidRPr="008E50F5">
              <w:rPr>
                <w:rFonts w:ascii="Times New Roman" w:hAnsi="Times New Roman"/>
                <w:vertAlign w:val="superscript"/>
              </w:rPr>
              <w:t>‡</w:t>
            </w:r>
          </w:p>
        </w:tc>
        <w:tc>
          <w:tcPr>
            <w:tcW w:w="1890" w:type="dxa"/>
          </w:tcPr>
          <w:p w14:paraId="649E16B7" w14:textId="0F091F7D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90" w:type="dxa"/>
          </w:tcPr>
          <w:p w14:paraId="1FDA5482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14:paraId="15E8B388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40" w:type="dxa"/>
          </w:tcPr>
          <w:p w14:paraId="1B3C13A4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6ACA4CFF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14:paraId="6DF8CB58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C97D07" w:rsidRPr="00625877" w14:paraId="09EF6325" w14:textId="77777777" w:rsidTr="00BE1F8A">
        <w:tc>
          <w:tcPr>
            <w:tcW w:w="2610" w:type="dxa"/>
          </w:tcPr>
          <w:p w14:paraId="4FC55590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Intermediate</w:t>
            </w:r>
          </w:p>
        </w:tc>
        <w:tc>
          <w:tcPr>
            <w:tcW w:w="1890" w:type="dxa"/>
          </w:tcPr>
          <w:p w14:paraId="6070475B" w14:textId="5FC15408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0.95 (0.79–1.14)</w:t>
            </w:r>
          </w:p>
        </w:tc>
        <w:tc>
          <w:tcPr>
            <w:tcW w:w="1890" w:type="dxa"/>
          </w:tcPr>
          <w:p w14:paraId="4E6E6A4A" w14:textId="4A8664FB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0.58</w:t>
            </w:r>
          </w:p>
        </w:tc>
        <w:tc>
          <w:tcPr>
            <w:tcW w:w="1890" w:type="dxa"/>
          </w:tcPr>
          <w:p w14:paraId="7CF078DD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0.96 (0.84–1.10)</w:t>
            </w:r>
          </w:p>
        </w:tc>
        <w:tc>
          <w:tcPr>
            <w:tcW w:w="1440" w:type="dxa"/>
          </w:tcPr>
          <w:p w14:paraId="3059AA4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0.56</w:t>
            </w:r>
          </w:p>
        </w:tc>
        <w:tc>
          <w:tcPr>
            <w:tcW w:w="1980" w:type="dxa"/>
          </w:tcPr>
          <w:p w14:paraId="7AE62029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0.48 (0.38–0.60)</w:t>
            </w:r>
          </w:p>
        </w:tc>
        <w:tc>
          <w:tcPr>
            <w:tcW w:w="990" w:type="dxa"/>
          </w:tcPr>
          <w:p w14:paraId="696CB1D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C97D07" w:rsidRPr="00625877" w14:paraId="4A25EF4C" w14:textId="77777777" w:rsidTr="00BE1F8A">
        <w:tc>
          <w:tcPr>
            <w:tcW w:w="2610" w:type="dxa"/>
          </w:tcPr>
          <w:p w14:paraId="3FBB3458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High </w:t>
            </w:r>
          </w:p>
        </w:tc>
        <w:tc>
          <w:tcPr>
            <w:tcW w:w="1890" w:type="dxa"/>
          </w:tcPr>
          <w:p w14:paraId="0BD3ECC3" w14:textId="0CC0F352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1.10 (0.90–1.35)</w:t>
            </w:r>
          </w:p>
        </w:tc>
        <w:tc>
          <w:tcPr>
            <w:tcW w:w="1890" w:type="dxa"/>
          </w:tcPr>
          <w:p w14:paraId="5C2EB1AE" w14:textId="5B7B2745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0.35</w:t>
            </w:r>
          </w:p>
        </w:tc>
        <w:tc>
          <w:tcPr>
            <w:tcW w:w="1890" w:type="dxa"/>
          </w:tcPr>
          <w:p w14:paraId="06634CF0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0.89 (0.77–1.04)</w:t>
            </w:r>
          </w:p>
        </w:tc>
        <w:tc>
          <w:tcPr>
            <w:tcW w:w="1440" w:type="dxa"/>
          </w:tcPr>
          <w:p w14:paraId="2A8B35CE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0.15</w:t>
            </w:r>
          </w:p>
        </w:tc>
        <w:tc>
          <w:tcPr>
            <w:tcW w:w="1980" w:type="dxa"/>
          </w:tcPr>
          <w:p w14:paraId="399BF68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0.29 (0.21–0.41)</w:t>
            </w:r>
          </w:p>
        </w:tc>
        <w:tc>
          <w:tcPr>
            <w:tcW w:w="990" w:type="dxa"/>
          </w:tcPr>
          <w:p w14:paraId="2F4D78F4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C97D07" w:rsidRPr="00625877" w14:paraId="0A395F7C" w14:textId="77777777" w:rsidTr="00BE1F8A">
        <w:tc>
          <w:tcPr>
            <w:tcW w:w="2610" w:type="dxa"/>
          </w:tcPr>
          <w:p w14:paraId="2C5A1B7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  <w:b/>
              </w:rPr>
            </w:pPr>
            <w:r w:rsidRPr="008E50F5">
              <w:rPr>
                <w:rFonts w:ascii="Times New Roman" w:hAnsi="Times New Roman"/>
                <w:b/>
              </w:rPr>
              <w:t xml:space="preserve">   Multivariable</w:t>
            </w:r>
          </w:p>
        </w:tc>
        <w:tc>
          <w:tcPr>
            <w:tcW w:w="1890" w:type="dxa"/>
          </w:tcPr>
          <w:p w14:paraId="17DC6A71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7DEC2C1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14:paraId="686473A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70B5ACE6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4B6EE9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8EBD438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C97D07" w:rsidRPr="00625877" w14:paraId="1987AA8B" w14:textId="77777777" w:rsidTr="00BE1F8A">
        <w:tc>
          <w:tcPr>
            <w:tcW w:w="2610" w:type="dxa"/>
          </w:tcPr>
          <w:p w14:paraId="5610C454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Continuous </w:t>
            </w:r>
          </w:p>
        </w:tc>
        <w:tc>
          <w:tcPr>
            <w:tcW w:w="1890" w:type="dxa"/>
          </w:tcPr>
          <w:p w14:paraId="5C48B1C4" w14:textId="20A6960F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1.03 (0.98–1.08)</w:t>
            </w:r>
          </w:p>
        </w:tc>
        <w:tc>
          <w:tcPr>
            <w:tcW w:w="1890" w:type="dxa"/>
          </w:tcPr>
          <w:p w14:paraId="6BD89194" w14:textId="5DBD1E33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0.31</w:t>
            </w:r>
          </w:p>
        </w:tc>
        <w:tc>
          <w:tcPr>
            <w:tcW w:w="1890" w:type="dxa"/>
          </w:tcPr>
          <w:p w14:paraId="6E55D1C0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0.98 (0.95–1.01)</w:t>
            </w:r>
          </w:p>
        </w:tc>
        <w:tc>
          <w:tcPr>
            <w:tcW w:w="1440" w:type="dxa"/>
          </w:tcPr>
          <w:p w14:paraId="6D5C9DAC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1980" w:type="dxa"/>
          </w:tcPr>
          <w:p w14:paraId="1519B11E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0.83 (0.79–0.88)</w:t>
            </w:r>
          </w:p>
        </w:tc>
        <w:tc>
          <w:tcPr>
            <w:tcW w:w="990" w:type="dxa"/>
          </w:tcPr>
          <w:p w14:paraId="15AC9974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C97D07" w:rsidRPr="00625877" w14:paraId="32140704" w14:textId="77777777" w:rsidTr="00BE1F8A">
        <w:tc>
          <w:tcPr>
            <w:tcW w:w="2610" w:type="dxa"/>
          </w:tcPr>
          <w:p w14:paraId="04A66134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Low</w:t>
            </w:r>
            <w:r w:rsidRPr="008E50F5">
              <w:rPr>
                <w:rFonts w:ascii="Times New Roman" w:hAnsi="Times New Roman"/>
                <w:vertAlign w:val="superscript"/>
              </w:rPr>
              <w:t>‡</w:t>
            </w:r>
          </w:p>
        </w:tc>
        <w:tc>
          <w:tcPr>
            <w:tcW w:w="1890" w:type="dxa"/>
          </w:tcPr>
          <w:p w14:paraId="7DEBBF09" w14:textId="49874C48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890" w:type="dxa"/>
          </w:tcPr>
          <w:p w14:paraId="580CB07B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0" w:type="dxa"/>
          </w:tcPr>
          <w:p w14:paraId="79DB546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440" w:type="dxa"/>
          </w:tcPr>
          <w:p w14:paraId="6E418E3D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63FABB8F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14:paraId="24FA5177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</w:p>
        </w:tc>
      </w:tr>
      <w:tr w:rsidR="00C97D07" w:rsidRPr="00625877" w14:paraId="16A95E8F" w14:textId="77777777" w:rsidTr="00BE1F8A">
        <w:tc>
          <w:tcPr>
            <w:tcW w:w="2610" w:type="dxa"/>
          </w:tcPr>
          <w:p w14:paraId="455DF48D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Intermediate</w:t>
            </w:r>
          </w:p>
        </w:tc>
        <w:tc>
          <w:tcPr>
            <w:tcW w:w="1890" w:type="dxa"/>
          </w:tcPr>
          <w:p w14:paraId="407BA5BB" w14:textId="6199D19B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0.98 (0.81–1.19)</w:t>
            </w:r>
          </w:p>
        </w:tc>
        <w:tc>
          <w:tcPr>
            <w:tcW w:w="1890" w:type="dxa"/>
          </w:tcPr>
          <w:p w14:paraId="6291CEF9" w14:textId="113E93AF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0.86</w:t>
            </w:r>
          </w:p>
        </w:tc>
        <w:tc>
          <w:tcPr>
            <w:tcW w:w="1890" w:type="dxa"/>
          </w:tcPr>
          <w:p w14:paraId="0EBE10B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0.96 (0.84–1.10)</w:t>
            </w:r>
          </w:p>
        </w:tc>
        <w:tc>
          <w:tcPr>
            <w:tcW w:w="1440" w:type="dxa"/>
          </w:tcPr>
          <w:p w14:paraId="2C93B8F6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0.55</w:t>
            </w:r>
          </w:p>
        </w:tc>
        <w:tc>
          <w:tcPr>
            <w:tcW w:w="1980" w:type="dxa"/>
          </w:tcPr>
          <w:p w14:paraId="3A2B7A9A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0.54 (0.43–0.69)</w:t>
            </w:r>
          </w:p>
        </w:tc>
        <w:tc>
          <w:tcPr>
            <w:tcW w:w="990" w:type="dxa"/>
          </w:tcPr>
          <w:p w14:paraId="310B397E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C97D07" w:rsidRPr="00625877" w14:paraId="66609141" w14:textId="77777777" w:rsidTr="00BE1F8A">
        <w:tc>
          <w:tcPr>
            <w:tcW w:w="2610" w:type="dxa"/>
          </w:tcPr>
          <w:p w14:paraId="7A9D47DF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 xml:space="preserve">      High </w:t>
            </w:r>
          </w:p>
        </w:tc>
        <w:tc>
          <w:tcPr>
            <w:tcW w:w="1890" w:type="dxa"/>
          </w:tcPr>
          <w:p w14:paraId="7EDB317D" w14:textId="32C1D9D8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1.19 (0.96–1.47)</w:t>
            </w:r>
          </w:p>
        </w:tc>
        <w:tc>
          <w:tcPr>
            <w:tcW w:w="1890" w:type="dxa"/>
          </w:tcPr>
          <w:p w14:paraId="3A0695CD" w14:textId="298BCE9C" w:rsidR="00C97D07" w:rsidRPr="008E50F5" w:rsidRDefault="00C97D07" w:rsidP="00C97D07">
            <w:pPr>
              <w:pStyle w:val="Ingenafstand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1890" w:type="dxa"/>
          </w:tcPr>
          <w:p w14:paraId="29ADAA06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0.90 (0.77–1.05)</w:t>
            </w:r>
          </w:p>
        </w:tc>
        <w:tc>
          <w:tcPr>
            <w:tcW w:w="1440" w:type="dxa"/>
          </w:tcPr>
          <w:p w14:paraId="066065C6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0.19</w:t>
            </w:r>
          </w:p>
        </w:tc>
        <w:tc>
          <w:tcPr>
            <w:tcW w:w="1980" w:type="dxa"/>
          </w:tcPr>
          <w:p w14:paraId="3B2D1C3F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0.39 (0.27–0.55)</w:t>
            </w:r>
          </w:p>
        </w:tc>
        <w:tc>
          <w:tcPr>
            <w:tcW w:w="990" w:type="dxa"/>
          </w:tcPr>
          <w:p w14:paraId="4CA16305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  <w:color w:val="000000" w:themeColor="text1"/>
              </w:rPr>
              <w:t>&lt;0.0001</w:t>
            </w:r>
          </w:p>
        </w:tc>
      </w:tr>
      <w:tr w:rsidR="00C97D07" w:rsidRPr="00625877" w14:paraId="0F469456" w14:textId="77777777" w:rsidTr="00BE1F8A">
        <w:tc>
          <w:tcPr>
            <w:tcW w:w="126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B14DAC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*Adjusted for age, sex, Charlson score, suPAR, blood eosinophil count, and C-reactive protein.</w:t>
            </w:r>
          </w:p>
          <w:p w14:paraId="29FD77E8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†Cut-offs for the suPAR quartiles: Q1: &lt;2.9 ng/ml (n=980, 24.4%), Q2: 2.9–3.8 ng/ml (n=1,003, 24.9%), Q3: 3.9–5.5 ng/ml (n=1,014, 25.2%), Q4: ≥5.6 ng/ml (n=1,025, 25.5%).</w:t>
            </w:r>
          </w:p>
          <w:p w14:paraId="7BEDD080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CI – Confidence interval</w:t>
            </w:r>
          </w:p>
          <w:p w14:paraId="6D64BACE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COPD – Chronic obstructive pulmonary disease</w:t>
            </w:r>
          </w:p>
          <w:p w14:paraId="4C5F57DD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HR –Hazard ratio</w:t>
            </w:r>
          </w:p>
          <w:p w14:paraId="00BA89D6" w14:textId="77777777" w:rsidR="00C97D07" w:rsidRPr="008E50F5" w:rsidRDefault="00C97D07" w:rsidP="00C97D07">
            <w:pPr>
              <w:pStyle w:val="Ingenafstand"/>
              <w:rPr>
                <w:rFonts w:ascii="Times New Roman" w:hAnsi="Times New Roman"/>
              </w:rPr>
            </w:pPr>
            <w:r w:rsidRPr="008E50F5">
              <w:rPr>
                <w:rFonts w:ascii="Times New Roman" w:hAnsi="Times New Roman"/>
              </w:rPr>
              <w:t>suPAR – Soluble urokinase plasminogen activator receptor</w:t>
            </w:r>
          </w:p>
        </w:tc>
      </w:tr>
    </w:tbl>
    <w:p w14:paraId="425DE13F" w14:textId="1B0EB121" w:rsidR="001E4EE8" w:rsidRPr="00F35E92" w:rsidRDefault="001E4EE8" w:rsidP="00357AAA">
      <w:pPr>
        <w:outlineLvl w:val="0"/>
        <w:rPr>
          <w:bCs/>
        </w:rPr>
      </w:pPr>
    </w:p>
    <w:sectPr w:rsidR="001E4EE8" w:rsidRPr="00F35E92" w:rsidSect="008F5265">
      <w:pgSz w:w="16840" w:h="11907" w:orient="landscape" w:code="9"/>
      <w:pgMar w:top="432" w:right="720" w:bottom="432" w:left="720" w:header="706" w:footer="706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8070" w14:textId="77777777" w:rsidR="00B05B94" w:rsidRDefault="00B05B94">
      <w:r>
        <w:separator/>
      </w:r>
    </w:p>
  </w:endnote>
  <w:endnote w:type="continuationSeparator" w:id="0">
    <w:p w14:paraId="21B8A40F" w14:textId="77777777" w:rsidR="00B05B94" w:rsidRDefault="00B0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C3E9A" w14:textId="77777777" w:rsidR="00B05B94" w:rsidRDefault="00B05B94">
      <w:r>
        <w:separator/>
      </w:r>
    </w:p>
  </w:footnote>
  <w:footnote w:type="continuationSeparator" w:id="0">
    <w:p w14:paraId="3AAF8D0C" w14:textId="77777777" w:rsidR="00B05B94" w:rsidRDefault="00B0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9C" w14:textId="77777777" w:rsidR="00DC2CC6" w:rsidRPr="0083380D" w:rsidRDefault="00DC2CC6" w:rsidP="0083380D">
    <w:pPr>
      <w:jc w:val="both"/>
      <w:outlineLvl w:val="0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09E4"/>
    <w:multiLevelType w:val="hybridMultilevel"/>
    <w:tmpl w:val="CB54079A"/>
    <w:lvl w:ilvl="0" w:tplc="DA38545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E4B21"/>
    <w:multiLevelType w:val="hybridMultilevel"/>
    <w:tmpl w:val="5762C1B0"/>
    <w:lvl w:ilvl="0" w:tplc="F13A04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2D16"/>
    <w:multiLevelType w:val="hybridMultilevel"/>
    <w:tmpl w:val="A94691CA"/>
    <w:lvl w:ilvl="0" w:tplc="B76C54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7B0F"/>
    <w:multiLevelType w:val="hybridMultilevel"/>
    <w:tmpl w:val="1B7E19E4"/>
    <w:lvl w:ilvl="0" w:tplc="F650230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72C32"/>
    <w:multiLevelType w:val="hybridMultilevel"/>
    <w:tmpl w:val="7D3CD336"/>
    <w:lvl w:ilvl="0" w:tplc="23C46F12">
      <w:numFmt w:val="bullet"/>
      <w:lvlText w:val="-"/>
      <w:lvlJc w:val="left"/>
      <w:pPr>
        <w:ind w:left="643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D3"/>
    <w:rsid w:val="000036A5"/>
    <w:rsid w:val="00035BEB"/>
    <w:rsid w:val="00042EEE"/>
    <w:rsid w:val="001030DA"/>
    <w:rsid w:val="00127BF3"/>
    <w:rsid w:val="00134393"/>
    <w:rsid w:val="001537D3"/>
    <w:rsid w:val="001B34CB"/>
    <w:rsid w:val="001D7F30"/>
    <w:rsid w:val="001E4EE8"/>
    <w:rsid w:val="00217F1C"/>
    <w:rsid w:val="00240498"/>
    <w:rsid w:val="00280DAA"/>
    <w:rsid w:val="00357AAA"/>
    <w:rsid w:val="003C5B20"/>
    <w:rsid w:val="003D30D2"/>
    <w:rsid w:val="003F0B39"/>
    <w:rsid w:val="00425A32"/>
    <w:rsid w:val="0046162A"/>
    <w:rsid w:val="0049251C"/>
    <w:rsid w:val="004B1311"/>
    <w:rsid w:val="0054674A"/>
    <w:rsid w:val="00553F18"/>
    <w:rsid w:val="005547CC"/>
    <w:rsid w:val="005D0452"/>
    <w:rsid w:val="005E3069"/>
    <w:rsid w:val="005E4B9F"/>
    <w:rsid w:val="006367E7"/>
    <w:rsid w:val="00687F92"/>
    <w:rsid w:val="006A3AB2"/>
    <w:rsid w:val="00746D49"/>
    <w:rsid w:val="007B5F9E"/>
    <w:rsid w:val="0083380D"/>
    <w:rsid w:val="008D540A"/>
    <w:rsid w:val="008E50F5"/>
    <w:rsid w:val="008F5265"/>
    <w:rsid w:val="00924505"/>
    <w:rsid w:val="00947B93"/>
    <w:rsid w:val="00960147"/>
    <w:rsid w:val="009A7B43"/>
    <w:rsid w:val="009B281D"/>
    <w:rsid w:val="009D0371"/>
    <w:rsid w:val="00A803D4"/>
    <w:rsid w:val="00AE36AE"/>
    <w:rsid w:val="00B02395"/>
    <w:rsid w:val="00B05B94"/>
    <w:rsid w:val="00B526EA"/>
    <w:rsid w:val="00BC1061"/>
    <w:rsid w:val="00BC192B"/>
    <w:rsid w:val="00C97D07"/>
    <w:rsid w:val="00CC60DC"/>
    <w:rsid w:val="00CD7766"/>
    <w:rsid w:val="00CF71F7"/>
    <w:rsid w:val="00D21C75"/>
    <w:rsid w:val="00D2347F"/>
    <w:rsid w:val="00D52860"/>
    <w:rsid w:val="00D74FE3"/>
    <w:rsid w:val="00D75567"/>
    <w:rsid w:val="00DA6E81"/>
    <w:rsid w:val="00DC2CC6"/>
    <w:rsid w:val="00DE74AB"/>
    <w:rsid w:val="00E22CC7"/>
    <w:rsid w:val="00E93202"/>
    <w:rsid w:val="00EC7261"/>
    <w:rsid w:val="00F318F4"/>
    <w:rsid w:val="00F35E92"/>
    <w:rsid w:val="00F7396E"/>
    <w:rsid w:val="00F76DD7"/>
    <w:rsid w:val="00F90F39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9CB4A"/>
  <w15:chartTrackingRefBased/>
  <w15:docId w15:val="{719D8DC7-3584-431D-BD19-20ED22DD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AU"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agecontents1">
    <w:name w:val="pagecontents1"/>
    <w:rsid w:val="001537D3"/>
    <w:rPr>
      <w:rFonts w:ascii="Verdana" w:hAnsi="Verdana" w:hint="default"/>
      <w:color w:val="000000"/>
      <w:sz w:val="22"/>
      <w:szCs w:val="22"/>
    </w:rPr>
  </w:style>
  <w:style w:type="paragraph" w:styleId="Sidehoved">
    <w:name w:val="header"/>
    <w:basedOn w:val="Normal"/>
    <w:rsid w:val="0055164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551641"/>
    <w:pPr>
      <w:tabs>
        <w:tab w:val="center" w:pos="4320"/>
        <w:tab w:val="right" w:pos="8640"/>
      </w:tabs>
    </w:pPr>
  </w:style>
  <w:style w:type="paragraph" w:styleId="Dokumentoversigt">
    <w:name w:val="Document Map"/>
    <w:basedOn w:val="Normal"/>
    <w:semiHidden/>
    <w:rsid w:val="000B6F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286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52860"/>
    <w:rPr>
      <w:rFonts w:ascii="Tahoma" w:hAnsi="Tahoma" w:cs="Tahoma"/>
      <w:sz w:val="16"/>
      <w:szCs w:val="16"/>
      <w:lang w:eastAsia="ja-JP"/>
    </w:rPr>
  </w:style>
  <w:style w:type="character" w:styleId="Kommentarhenvisning">
    <w:name w:val="annotation reference"/>
    <w:uiPriority w:val="99"/>
    <w:semiHidden/>
    <w:unhideWhenUsed/>
    <w:rsid w:val="00AE36A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E36AE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AE36AE"/>
    <w:rPr>
      <w:lang w:eastAsia="ja-JP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E36A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AE36AE"/>
    <w:rPr>
      <w:b/>
      <w:bCs/>
      <w:lang w:eastAsia="ja-JP"/>
    </w:rPr>
  </w:style>
  <w:style w:type="character" w:styleId="Hyperlink">
    <w:name w:val="Hyperlink"/>
    <w:uiPriority w:val="99"/>
    <w:unhideWhenUsed/>
    <w:rsid w:val="00B526EA"/>
    <w:rPr>
      <w:color w:val="0563C1"/>
      <w:u w:val="single"/>
    </w:rPr>
  </w:style>
  <w:style w:type="paragraph" w:customStyle="1" w:styleId="AuthorList">
    <w:name w:val="Author List"/>
    <w:aliases w:val="Keywords,Abstract"/>
    <w:basedOn w:val="Undertitel"/>
    <w:next w:val="Normal"/>
    <w:uiPriority w:val="1"/>
    <w:qFormat/>
    <w:rsid w:val="003C5B20"/>
    <w:pPr>
      <w:spacing w:before="240" w:after="240"/>
      <w:jc w:val="left"/>
      <w:outlineLvl w:val="9"/>
    </w:pPr>
    <w:rPr>
      <w:rFonts w:ascii="Times New Roman" w:eastAsia="Calibri" w:hAnsi="Times New Roman"/>
      <w:b/>
      <w:lang w:val="en-US"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5B20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UndertitelTegn">
    <w:name w:val="Undertitel Tegn"/>
    <w:link w:val="Undertitel"/>
    <w:uiPriority w:val="11"/>
    <w:rsid w:val="003C5B20"/>
    <w:rPr>
      <w:rFonts w:ascii="Calibri Light" w:eastAsia="Times New Roman" w:hAnsi="Calibri Light" w:cs="Times New Roman"/>
      <w:sz w:val="24"/>
      <w:szCs w:val="24"/>
      <w:lang w:val="en-AU" w:eastAsia="ja-JP"/>
    </w:rPr>
  </w:style>
  <w:style w:type="paragraph" w:styleId="Ingenafstand">
    <w:name w:val="No Spacing"/>
    <w:uiPriority w:val="1"/>
    <w:qFormat/>
    <w:rsid w:val="003C5B20"/>
    <w:rPr>
      <w:rFonts w:eastAsia="Calibri"/>
      <w:sz w:val="24"/>
      <w:szCs w:val="22"/>
      <w:lang w:val="en-US" w:eastAsia="en-US"/>
    </w:rPr>
  </w:style>
  <w:style w:type="paragraph" w:styleId="Titel">
    <w:name w:val="Title"/>
    <w:basedOn w:val="Normal"/>
    <w:next w:val="Normal"/>
    <w:link w:val="TitelTegn"/>
    <w:qFormat/>
    <w:rsid w:val="005E3069"/>
    <w:pPr>
      <w:suppressLineNumbers/>
      <w:spacing w:before="240" w:after="360"/>
      <w:jc w:val="center"/>
    </w:pPr>
    <w:rPr>
      <w:rFonts w:eastAsiaTheme="minorHAnsi"/>
      <w:b/>
      <w:sz w:val="32"/>
      <w:szCs w:val="32"/>
      <w:lang w:val="en-US" w:eastAsia="en-US"/>
    </w:rPr>
  </w:style>
  <w:style w:type="character" w:customStyle="1" w:styleId="TitelTegn">
    <w:name w:val="Titel Tegn"/>
    <w:basedOn w:val="Standardskrifttypeiafsnit"/>
    <w:link w:val="Titel"/>
    <w:rsid w:val="005E3069"/>
    <w:rPr>
      <w:rFonts w:eastAsiaTheme="minorHAnsi"/>
      <w:b/>
      <w:sz w:val="32"/>
      <w:szCs w:val="32"/>
      <w:lang w:val="en-US" w:eastAsia="en-US"/>
    </w:rPr>
  </w:style>
  <w:style w:type="table" w:customStyle="1" w:styleId="Tabel-Gitter1">
    <w:name w:val="Tabel - Gitter1"/>
    <w:basedOn w:val="Tabel-Normal"/>
    <w:next w:val="Tabel-Gitter"/>
    <w:uiPriority w:val="39"/>
    <w:rsid w:val="001D7F30"/>
    <w:rPr>
      <w:rFonts w:ascii="Calibri" w:eastAsia="Calibri" w:hAnsi="Calibr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1D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874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Changes to Manuscript Central set up:</vt:lpstr>
      <vt:lpstr>Changes to Manuscript Central set up:</vt:lpstr>
    </vt:vector>
  </TitlesOfParts>
  <Company>Asthma and Allergy Research Institute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Manuscript Central set up:</dc:title>
  <dc:subject/>
  <dc:creator>Christel Norman</dc:creator>
  <cp:keywords/>
  <cp:lastModifiedBy>Kjell Erik Julius Håkansson</cp:lastModifiedBy>
  <cp:revision>6</cp:revision>
  <dcterms:created xsi:type="dcterms:W3CDTF">2020-01-20T13:58:00Z</dcterms:created>
  <dcterms:modified xsi:type="dcterms:W3CDTF">2020-01-27T08:40:00Z</dcterms:modified>
</cp:coreProperties>
</file>