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4AB2B" w14:textId="77777777" w:rsidR="003A6F3B" w:rsidRPr="003A6F3B" w:rsidRDefault="003A6F3B" w:rsidP="003A6F3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bookmarkStart w:id="0" w:name="OLE_LINK8"/>
      <w:r w:rsidRPr="003A6F3B">
        <w:rPr>
          <w:rFonts w:ascii="Times New Roman" w:eastAsia="宋体" w:hAnsi="Times New Roman" w:cs="Times New Roman"/>
          <w:sz w:val="24"/>
          <w:szCs w:val="24"/>
        </w:rPr>
        <w:t>DEP domain-containing protein 1B (DEPDC1B) promotes migration and invasion in pancreatic cancer through the Rac1/PAK1-LIMK1-cofilin1 signaling pathway</w:t>
      </w:r>
      <w:bookmarkEnd w:id="0"/>
    </w:p>
    <w:p w14:paraId="65376CDB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Times New Roman,Bold" w:hAnsi="Times New Roman" w:cs="Times New Roman"/>
          <w:kern w:val="0"/>
          <w:sz w:val="24"/>
          <w:szCs w:val="24"/>
        </w:rPr>
      </w:pPr>
    </w:p>
    <w:p w14:paraId="1A57FE67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</w:pP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</w:rPr>
        <w:t>Shan Zhang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, #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</w:rPr>
        <w:t xml:space="preserve">, 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Weiwei Shi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, #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Wei Hu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3, 4, #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Ding Ma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Dongliang Yan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4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Kuanyong Yu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4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Guang Zhang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, 4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Yin Cao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, 4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 xml:space="preserve">, 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</w:rPr>
        <w:t>Junhua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 xml:space="preserve"> 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</w:rPr>
        <w:t>Wu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</w:rPr>
        <w:t>, Chunping Jiang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, 4, *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, Zhongxia Wang</w:t>
      </w:r>
      <w:r w:rsidRPr="003A6F3B">
        <w:rPr>
          <w:rFonts w:ascii="Times New Roman" w:eastAsia="Times New Roman,Bold" w:hAnsi="Times New Roman" w:cs="Times New Roman" w:hint="eastAsia"/>
          <w:kern w:val="0"/>
          <w:sz w:val="24"/>
          <w:szCs w:val="24"/>
          <w:vertAlign w:val="superscript"/>
        </w:rPr>
        <w:t>1, 2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  <w:vertAlign w:val="superscript"/>
        </w:rPr>
        <w:t>, 4, *</w:t>
      </w:r>
      <w:r w:rsidRPr="003A6F3B">
        <w:rPr>
          <w:rFonts w:ascii="Times New Roman" w:eastAsia="Times New Roman,Bold" w:hAnsi="Times New Roman" w:cs="Times New Roman"/>
          <w:kern w:val="0"/>
          <w:sz w:val="24"/>
          <w:szCs w:val="24"/>
        </w:rPr>
        <w:t>.</w:t>
      </w:r>
    </w:p>
    <w:p w14:paraId="3CC77E06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</w:p>
    <w:p w14:paraId="4C3A8665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A6F3B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1</w:t>
      </w:r>
      <w:r w:rsidRPr="003A6F3B">
        <w:rPr>
          <w:rFonts w:ascii="Times New Roman" w:eastAsia="宋体" w:hAnsi="Times New Roman" w:cs="Times New Roman"/>
          <w:kern w:val="0"/>
          <w:sz w:val="24"/>
          <w:szCs w:val="24"/>
        </w:rPr>
        <w:t>Department of Hepatobiliary Surgery, the Affiliated Drum Tower Hospital of Nanjing University Medical School, Nanjing, Jiangsu 210008, China</w:t>
      </w:r>
      <w:r w:rsidRPr="003A6F3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; </w:t>
      </w:r>
      <w:r w:rsidRPr="003A6F3B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3A6F3B">
        <w:rPr>
          <w:rFonts w:ascii="Times New Roman" w:eastAsia="宋体" w:hAnsi="Times New Roman" w:cs="Times New Roman"/>
          <w:kern w:val="0"/>
          <w:sz w:val="24"/>
          <w:szCs w:val="24"/>
        </w:rPr>
        <w:t>Jiangsu Key Laboratory of Molecular Medicine, Medical School, Nanjing University, Nanjing, Jiangsu 210093, China</w:t>
      </w:r>
      <w:r w:rsidRPr="003A6F3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; </w:t>
      </w:r>
      <w:r w:rsidRPr="003A6F3B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3</w:t>
      </w:r>
      <w:r w:rsidRPr="003A6F3B">
        <w:rPr>
          <w:rFonts w:ascii="Times New Roman" w:eastAsia="宋体" w:hAnsi="Times New Roman" w:cs="Times New Roman"/>
          <w:sz w:val="24"/>
          <w:szCs w:val="24"/>
        </w:rPr>
        <w:t>Department of Hepatobiliary Surgery, Lianyungang Clinical College of Nanjing Medical University, Lianyungang, Jiangsu 222001, China</w:t>
      </w:r>
      <w:r w:rsidRPr="003A6F3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; </w:t>
      </w:r>
      <w:r w:rsidRPr="003A6F3B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4</w:t>
      </w:r>
      <w:r w:rsidRPr="003A6F3B">
        <w:rPr>
          <w:rFonts w:ascii="Times New Roman" w:eastAsia="宋体" w:hAnsi="Times New Roman" w:cs="Times New Roman"/>
          <w:sz w:val="24"/>
          <w:szCs w:val="24"/>
        </w:rPr>
        <w:t>Department of Hepatobiliary Surgery, Drum Tower Clinical College of Nanjing Medical University, Nanjing, Jiangsu 210008, China</w:t>
      </w:r>
    </w:p>
    <w:p w14:paraId="7C429ED7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3A6F3B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#</w:t>
      </w:r>
      <w:r w:rsidRPr="003A6F3B">
        <w:rPr>
          <w:rFonts w:ascii="Times New Roman" w:eastAsia="宋体" w:hAnsi="Times New Roman" w:cs="Times New Roman"/>
          <w:sz w:val="24"/>
          <w:szCs w:val="24"/>
        </w:rPr>
        <w:t xml:space="preserve"> These authors contributed equally to this work</w:t>
      </w:r>
    </w:p>
    <w:p w14:paraId="22D48941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</w:p>
    <w:p w14:paraId="4EA252DC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A6F3B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* </w:t>
      </w:r>
      <w:r w:rsidRPr="003A6F3B">
        <w:rPr>
          <w:rFonts w:ascii="Times New Roman" w:eastAsia="宋体" w:hAnsi="Times New Roman" w:cs="Times New Roman"/>
          <w:kern w:val="0"/>
          <w:sz w:val="24"/>
          <w:szCs w:val="24"/>
        </w:rPr>
        <w:t xml:space="preserve">Correspondence to: </w:t>
      </w:r>
    </w:p>
    <w:p w14:paraId="4451B05E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A6F3B">
        <w:rPr>
          <w:rFonts w:ascii="Times New Roman" w:eastAsia="宋体" w:hAnsi="Times New Roman" w:cs="Times New Roman"/>
          <w:kern w:val="0"/>
          <w:sz w:val="24"/>
          <w:szCs w:val="24"/>
        </w:rPr>
        <w:t>Zhongxia Wang. Address: 321 Zhongshan Road, Nanjing, Jiangsu 210008, China. Telephone: +86-15950451723. Fax: +86-25-83307115. Email:</w:t>
      </w:r>
      <w:hyperlink r:id="rId7" w:history="1">
        <w:r w:rsidRPr="003A6F3B">
          <w:rPr>
            <w:rFonts w:ascii="Times New Roman" w:eastAsia="宋体" w:hAnsi="Times New Roman" w:cs="Times New Roman"/>
            <w:kern w:val="0"/>
            <w:sz w:val="24"/>
            <w:szCs w:val="24"/>
          </w:rPr>
          <w:t>freud_t@126.com</w:t>
        </w:r>
      </w:hyperlink>
      <w:r w:rsidRPr="003A6F3B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0CE7D5F3" w14:textId="77777777" w:rsidR="003A6F3B" w:rsidRPr="003A6F3B" w:rsidRDefault="003A6F3B" w:rsidP="003A6F3B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A6F3B">
        <w:rPr>
          <w:rFonts w:ascii="Times New Roman" w:eastAsia="宋体" w:hAnsi="Times New Roman" w:cs="Times New Roman"/>
          <w:kern w:val="0"/>
          <w:sz w:val="24"/>
          <w:szCs w:val="24"/>
        </w:rPr>
        <w:t xml:space="preserve">Chunping Jiang. Address: 321 Zhongshan Road, Nanjing, Jiangsu 210008, China. Telephone: +86-13851818663. Fax: +86-25-83307115. Email: chunpingjiang@163.com. </w:t>
      </w:r>
    </w:p>
    <w:p w14:paraId="5B57F592" w14:textId="4F9C7043" w:rsidR="003A6F3B" w:rsidRPr="003A6F3B" w:rsidRDefault="003A6F3B" w:rsidP="003A6F3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Supplemental M</w:t>
      </w:r>
      <w:r w:rsidRPr="003A6F3B">
        <w:rPr>
          <w:rFonts w:ascii="Times New Roman" w:hAnsi="Times New Roman" w:cs="Times New Roman"/>
          <w:bCs/>
          <w:sz w:val="24"/>
          <w:szCs w:val="24"/>
        </w:rPr>
        <w:t>ethod</w:t>
      </w:r>
    </w:p>
    <w:p w14:paraId="13E9BB4A" w14:textId="41A94E4E" w:rsidR="003A6F3B" w:rsidRDefault="003A6F3B" w:rsidP="003A6F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857AE3">
        <w:rPr>
          <w:rFonts w:ascii="Times New Roman" w:hAnsi="Times New Roman" w:cs="Times New Roman"/>
          <w:sz w:val="24"/>
          <w:szCs w:val="24"/>
        </w:rPr>
        <w:t>Immunofluorescence imaging</w:t>
      </w:r>
    </w:p>
    <w:p w14:paraId="08C2CE91" w14:textId="77777777" w:rsidR="003A6F3B" w:rsidRDefault="003A6F3B" w:rsidP="003A6F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7D12">
        <w:rPr>
          <w:rFonts w:ascii="Times New Roman" w:hAnsi="Times New Roman" w:cs="Times New Roman"/>
          <w:sz w:val="24"/>
          <w:szCs w:val="24"/>
        </w:rPr>
        <w:t>Cells grown on coverslips were fixed with 4% paraformaldehyde for 15 min at room temperature and incubated overnight with indicated primary antibodies at 4°C. After that, the cells were incubated with Alexa Fluor-conjugated secondary antibodies (Thermo Fisher Scientific, MA, USA), and the nucleus was counterstained with DAPI (Thermo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57D12">
        <w:rPr>
          <w:rFonts w:ascii="Times New Roman" w:hAnsi="Times New Roman" w:cs="Times New Roman"/>
          <w:sz w:val="24"/>
          <w:szCs w:val="24"/>
        </w:rPr>
        <w:t>Fisher Scientific, MA, USA). Fluorescence was photographed by confocal laser microscopy (FV3000, Olympus).</w:t>
      </w:r>
    </w:p>
    <w:p w14:paraId="4D6E1A09" w14:textId="77777777" w:rsidR="003A6F3B" w:rsidRDefault="003A6F3B" w:rsidP="00A702A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5014182" w14:textId="3F389588" w:rsidR="003A6F3B" w:rsidRPr="007D7AB5" w:rsidRDefault="00A702A7" w:rsidP="00A702A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702A7">
        <w:rPr>
          <w:rFonts w:ascii="Times New Roman" w:eastAsia="宋体" w:hAnsi="Times New Roman" w:cs="Times New Roman"/>
          <w:sz w:val="24"/>
          <w:szCs w:val="24"/>
        </w:rPr>
        <w:t>Supplementary Figure 1</w:t>
      </w:r>
    </w:p>
    <w:p w14:paraId="481B3940" w14:textId="12DAEB59" w:rsidR="003A6F3B" w:rsidRDefault="003A6F3B" w:rsidP="00A702A7">
      <w:pPr>
        <w:spacing w:line="480" w:lineRule="auto"/>
        <w:rPr>
          <w:rFonts w:ascii="Times New Roman" w:eastAsia="OpenSans-Light,Italic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277669F" wp14:editId="1893CD4F">
            <wp:extent cx="5274310" cy="2727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B0DD" w14:textId="35DEA868" w:rsidR="00A702A7" w:rsidRPr="00A702A7" w:rsidRDefault="00031A06" w:rsidP="00A702A7">
      <w:pPr>
        <w:spacing w:line="480" w:lineRule="auto"/>
        <w:rPr>
          <w:rFonts w:ascii="Times New Roman" w:eastAsia="OpenSans-Light,Italic" w:hAnsi="Times New Roman" w:cs="Times New Roman"/>
          <w:kern w:val="0"/>
          <w:sz w:val="24"/>
          <w:szCs w:val="24"/>
        </w:rPr>
      </w:pPr>
      <w:r w:rsidRPr="00A702A7">
        <w:rPr>
          <w:rFonts w:ascii="Times New Roman" w:eastAsia="OpenSans-Light,Italic" w:hAnsi="Times New Roman" w:cs="Times New Roman"/>
          <w:kern w:val="0"/>
          <w:sz w:val="24"/>
          <w:szCs w:val="24"/>
        </w:rPr>
        <w:t>Immunofluorescence analysis for E-cadherin expression</w:t>
      </w:r>
      <w:r>
        <w:rPr>
          <w:rFonts w:ascii="Times New Roman" w:eastAsia="OpenSans-Light,Italic" w:hAnsi="Times New Roman" w:cs="Times New Roman"/>
          <w:kern w:val="0"/>
          <w:sz w:val="24"/>
          <w:szCs w:val="24"/>
        </w:rPr>
        <w:t xml:space="preserve">. </w:t>
      </w:r>
      <w:r w:rsidR="003A6F3B" w:rsidRPr="00A702A7">
        <w:rPr>
          <w:rFonts w:ascii="Times New Roman" w:eastAsia="OpenSans-Light,Italic" w:hAnsi="Times New Roman" w:cs="Times New Roman"/>
          <w:kern w:val="0"/>
          <w:sz w:val="24"/>
          <w:szCs w:val="24"/>
        </w:rPr>
        <w:t>Immunofluorescence analysis</w:t>
      </w:r>
      <w:r w:rsidR="003A6F3B" w:rsidRPr="003A6F3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A6F3B" w:rsidRPr="00A702A7">
        <w:rPr>
          <w:rFonts w:ascii="Times New Roman" w:eastAsia="宋体" w:hAnsi="Times New Roman" w:cs="Times New Roman"/>
          <w:sz w:val="24"/>
          <w:szCs w:val="24"/>
        </w:rPr>
        <w:t>w</w:t>
      </w:r>
      <w:r w:rsidR="003A6F3B">
        <w:rPr>
          <w:rFonts w:ascii="Times New Roman" w:eastAsia="宋体" w:hAnsi="Times New Roman" w:cs="Times New Roman"/>
          <w:sz w:val="24"/>
          <w:szCs w:val="24"/>
        </w:rPr>
        <w:t>ere</w:t>
      </w:r>
      <w:r w:rsidR="003A6F3B" w:rsidRPr="00A702A7">
        <w:rPr>
          <w:rFonts w:ascii="Times New Roman" w:eastAsia="宋体" w:hAnsi="Times New Roman" w:cs="Times New Roman"/>
          <w:sz w:val="24"/>
          <w:szCs w:val="24"/>
        </w:rPr>
        <w:t xml:space="preserve"> used to observe the </w:t>
      </w:r>
      <w:r w:rsidR="003A6F3B">
        <w:rPr>
          <w:rFonts w:ascii="Times New Roman" w:eastAsia="宋体" w:hAnsi="Times New Roman" w:cs="Times New Roman"/>
          <w:sz w:val="24"/>
          <w:szCs w:val="24"/>
        </w:rPr>
        <w:t>expression</w:t>
      </w:r>
      <w:r w:rsidR="003A6F3B" w:rsidRPr="00A702A7">
        <w:rPr>
          <w:rFonts w:ascii="Times New Roman" w:eastAsia="宋体" w:hAnsi="Times New Roman" w:cs="Times New Roman"/>
          <w:sz w:val="24"/>
          <w:szCs w:val="24"/>
        </w:rPr>
        <w:t xml:space="preserve"> of</w:t>
      </w:r>
      <w:r w:rsidRPr="00031A06">
        <w:rPr>
          <w:rFonts w:ascii="Times New Roman" w:eastAsia="OpenSans-Light,Italic" w:hAnsi="Times New Roman" w:cs="Times New Roman"/>
          <w:kern w:val="0"/>
          <w:sz w:val="24"/>
          <w:szCs w:val="24"/>
        </w:rPr>
        <w:t xml:space="preserve"> </w:t>
      </w:r>
      <w:r w:rsidRPr="00A702A7">
        <w:rPr>
          <w:rFonts w:ascii="Times New Roman" w:eastAsia="OpenSans-Light,Italic" w:hAnsi="Times New Roman" w:cs="Times New Roman"/>
          <w:kern w:val="0"/>
          <w:sz w:val="24"/>
          <w:szCs w:val="24"/>
        </w:rPr>
        <w:t>E-cadherin</w:t>
      </w:r>
      <w:r w:rsidR="003A6F3B" w:rsidRPr="00A702A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702A7" w:rsidRPr="00A702A7">
        <w:rPr>
          <w:rFonts w:ascii="Times New Roman" w:eastAsia="OpenSans-Light,Italic" w:hAnsi="Times New Roman" w:cs="Times New Roman"/>
          <w:kern w:val="0"/>
          <w:sz w:val="24"/>
          <w:szCs w:val="24"/>
        </w:rPr>
        <w:t xml:space="preserve">in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the five human PC cell lines and one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>normal human pancreatic ductal cell line</w:t>
      </w:r>
      <w:r w:rsidR="00A702A7" w:rsidRPr="00A702A7">
        <w:rPr>
          <w:rFonts w:ascii="Times New Roman" w:eastAsia="OpenSans-Light,Italic" w:hAnsi="Times New Roman" w:cs="Times New Roman"/>
          <w:kern w:val="0"/>
          <w:sz w:val="24"/>
          <w:szCs w:val="24"/>
        </w:rPr>
        <w:t>.</w:t>
      </w:r>
    </w:p>
    <w:p w14:paraId="046EE19C" w14:textId="77777777" w:rsidR="00A702A7" w:rsidRPr="00A702A7" w:rsidRDefault="00A702A7" w:rsidP="00A702A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702A7">
        <w:rPr>
          <w:rFonts w:ascii="Times New Roman" w:eastAsia="宋体" w:hAnsi="Times New Roman" w:cs="Times New Roman"/>
          <w:sz w:val="24"/>
          <w:szCs w:val="24"/>
        </w:rPr>
        <w:t xml:space="preserve">Abbreviations: </w:t>
      </w:r>
      <w:r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PC, pancreatic cancer</w:t>
      </w:r>
      <w:r w:rsidRPr="00A702A7">
        <w:rPr>
          <w:rFonts w:ascii="Times New Roman" w:eastAsia="MinionPro-Regular" w:hAnsi="Times New Roman" w:cs="Times New Roman" w:hint="eastAsia"/>
          <w:kern w:val="0"/>
          <w:sz w:val="24"/>
          <w:szCs w:val="24"/>
        </w:rPr>
        <w:t>.</w:t>
      </w:r>
    </w:p>
    <w:p w14:paraId="2CD1D08D" w14:textId="77777777" w:rsidR="00A702A7" w:rsidRPr="00A702A7" w:rsidRDefault="00A702A7" w:rsidP="00A702A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83A7184" w14:textId="77777777" w:rsidR="00A702A7" w:rsidRPr="00A702A7" w:rsidRDefault="00A702A7" w:rsidP="00A702A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702A7">
        <w:rPr>
          <w:rFonts w:ascii="Times New Roman" w:eastAsia="宋体" w:hAnsi="Times New Roman" w:cs="Times New Roman"/>
          <w:sz w:val="24"/>
          <w:szCs w:val="24"/>
        </w:rPr>
        <w:lastRenderedPageBreak/>
        <w:t>Supplementary Figure 2</w:t>
      </w:r>
    </w:p>
    <w:p w14:paraId="17F7DE39" w14:textId="343658EE" w:rsidR="00031A06" w:rsidRDefault="00031A06" w:rsidP="00A702A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8FD103" wp14:editId="018A1DBB">
            <wp:extent cx="5274310" cy="51568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8296" w14:textId="65F4BA6C" w:rsidR="00A702A7" w:rsidRPr="00A702A7" w:rsidRDefault="00031A06" w:rsidP="00031A06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Effect of DEPDC1B knockdown on the</w:t>
      </w:r>
      <w:r w:rsidRPr="00A702A7">
        <w:rPr>
          <w:rFonts w:ascii="Times New Roman" w:eastAsia="宋体" w:hAnsi="Times New Roman" w:cs="Times New Roman"/>
          <w:sz w:val="24"/>
          <w:szCs w:val="24"/>
        </w:rPr>
        <w:t xml:space="preserve"> migration and invasion of PC cells </w:t>
      </w:r>
      <w:r w:rsidRPr="00A702A7">
        <w:rPr>
          <w:rFonts w:ascii="Times New Roman" w:eastAsia="MinionPro-It" w:hAnsi="Times New Roman" w:cs="Times New Roman"/>
          <w:iCs/>
          <w:kern w:val="0"/>
          <w:sz w:val="24"/>
          <w:szCs w:val="24"/>
        </w:rPr>
        <w:t>in vitro</w:t>
      </w:r>
      <w:r w:rsidRPr="00A702A7"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(</w:t>
      </w:r>
      <w:r w:rsidR="00A702A7" w:rsidRPr="00A702A7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>A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) A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>CCK-8</w:t>
      </w:r>
      <w:r w:rsidR="00A702A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assay was used to observe the effect of DEPDC1B on the </w:t>
      </w:r>
      <w:r w:rsidR="00A702A7" w:rsidRPr="00A702A7">
        <w:rPr>
          <w:rFonts w:ascii="Times New Roman" w:eastAsia="OpenSans-Light,Italic" w:hAnsi="Times New Roman" w:cs="Times New Roman"/>
          <w:color w:val="323232"/>
          <w:kern w:val="0"/>
          <w:sz w:val="24"/>
          <w:szCs w:val="24"/>
        </w:rPr>
        <w:t>cell proliferation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(</w:t>
      </w:r>
      <w:r w:rsidR="00A702A7" w:rsidRPr="00A702A7">
        <w:rPr>
          <w:rFonts w:ascii="Times New Roman" w:eastAsia="MinionPro-Bold" w:hAnsi="Times New Roman" w:cs="Times New Roman"/>
          <w:bCs/>
          <w:kern w:val="0"/>
          <w:sz w:val="24"/>
          <w:szCs w:val="24"/>
        </w:rPr>
        <w:t>B, C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) The DEPDC1B interference efficiency of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transient transfection with siRNAs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in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PC cells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was examined by western blotting and qRT-PCR.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(D) Typical images of the wound healing assay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for the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siNC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and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siDEPDC1B#2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groups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 show cell migration to the wound; the images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were captured at 0 and 24 h after wounding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. (E) Typical images of the transwell migration assay (without Matrigel) and (F) transwell invasion assay (with Matrigel) showing migrated and invaded cells on the membrane. The average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lastRenderedPageBreak/>
        <w:t>migrated and invaded cell numbers from five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 random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visual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fields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were calculated 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from three independent experiments. (G) EMT-related protein levels were analyzed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in the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siNC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group and </w:t>
      </w:r>
      <w:r w:rsidR="00A702A7" w:rsidRPr="00A702A7">
        <w:rPr>
          <w:rFonts w:ascii="Times New Roman" w:eastAsia="宋体" w:hAnsi="Times New Roman" w:cs="Times New Roman"/>
          <w:kern w:val="0"/>
          <w:sz w:val="24"/>
          <w:szCs w:val="24"/>
        </w:rPr>
        <w:t xml:space="preserve">siDEPDC1B#2 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group</w:t>
      </w:r>
      <w:r w:rsidR="00A702A7" w:rsidRPr="00A702A7">
        <w:rPr>
          <w:rFonts w:ascii="Times New Roman" w:eastAsia="宋体" w:hAnsi="Times New Roman" w:cs="Times New Roman"/>
          <w:sz w:val="24"/>
          <w:szCs w:val="24"/>
        </w:rPr>
        <w:t xml:space="preserve"> by western blotting. </w:t>
      </w:r>
      <w:r w:rsidR="00A702A7" w:rsidRPr="00A702A7">
        <w:rPr>
          <w:rFonts w:ascii="Times New Roman" w:eastAsia="STIXGeneral-Regular" w:hAnsi="Times New Roman" w:cs="Times New Roman"/>
          <w:kern w:val="0"/>
          <w:sz w:val="24"/>
          <w:szCs w:val="24"/>
        </w:rPr>
        <w:t>*</w:t>
      </w:r>
      <w:r w:rsidR="00A702A7" w:rsidRPr="00A702A7">
        <w:rPr>
          <w:rFonts w:ascii="Times New Roman" w:eastAsia="MinionPro-It" w:hAnsi="Times New Roman" w:cs="Times New Roman"/>
          <w:i/>
          <w:iCs/>
          <w:kern w:val="0"/>
          <w:sz w:val="24"/>
          <w:szCs w:val="24"/>
        </w:rPr>
        <w:t xml:space="preserve">P </w:t>
      </w:r>
      <w:r w:rsidR="00A702A7" w:rsidRPr="00A702A7">
        <w:rPr>
          <w:rFonts w:ascii="Times New Roman" w:eastAsia="EuclidSymbol" w:hAnsi="Times New Roman" w:cs="Times New Roman"/>
          <w:kern w:val="0"/>
          <w:sz w:val="24"/>
          <w:szCs w:val="24"/>
        </w:rPr>
        <w:t>&lt;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0.05, </w:t>
      </w:r>
      <w:r w:rsidR="00A702A7" w:rsidRPr="00A702A7">
        <w:rPr>
          <w:rFonts w:ascii="Times New Roman" w:eastAsia="STIXGeneral-Regular" w:hAnsi="Times New Roman" w:cs="Times New Roman"/>
          <w:kern w:val="0"/>
          <w:sz w:val="24"/>
          <w:szCs w:val="24"/>
        </w:rPr>
        <w:t>**</w:t>
      </w:r>
      <w:r w:rsidR="00A702A7" w:rsidRPr="00A702A7">
        <w:rPr>
          <w:rFonts w:ascii="Times New Roman" w:eastAsia="MinionPro-It" w:hAnsi="Times New Roman" w:cs="Times New Roman"/>
          <w:i/>
          <w:iCs/>
          <w:kern w:val="0"/>
          <w:sz w:val="24"/>
          <w:szCs w:val="24"/>
        </w:rPr>
        <w:t xml:space="preserve">P </w:t>
      </w:r>
      <w:r w:rsidR="00A702A7" w:rsidRPr="00A702A7">
        <w:rPr>
          <w:rFonts w:ascii="Times New Roman" w:eastAsia="EuclidSymbol" w:hAnsi="Times New Roman" w:cs="Times New Roman"/>
          <w:kern w:val="0"/>
          <w:sz w:val="24"/>
          <w:szCs w:val="24"/>
        </w:rPr>
        <w:t>&lt;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0.01, and </w:t>
      </w:r>
      <w:r w:rsidR="00A702A7" w:rsidRPr="00A702A7">
        <w:rPr>
          <w:rFonts w:ascii="Times New Roman" w:eastAsia="STIXGeneral-Regular" w:hAnsi="Times New Roman" w:cs="Times New Roman"/>
          <w:kern w:val="0"/>
          <w:sz w:val="24"/>
          <w:szCs w:val="24"/>
        </w:rPr>
        <w:t>***</w:t>
      </w:r>
      <w:r w:rsidR="00A702A7" w:rsidRPr="00A702A7">
        <w:rPr>
          <w:rFonts w:ascii="Times New Roman" w:eastAsia="MinionPro-It" w:hAnsi="Times New Roman" w:cs="Times New Roman"/>
          <w:i/>
          <w:iCs/>
          <w:kern w:val="0"/>
          <w:sz w:val="24"/>
          <w:szCs w:val="24"/>
        </w:rPr>
        <w:t xml:space="preserve">P </w:t>
      </w:r>
      <w:r w:rsidR="00A702A7" w:rsidRPr="00A702A7">
        <w:rPr>
          <w:rFonts w:ascii="Times New Roman" w:eastAsia="EuclidSymbol" w:hAnsi="Times New Roman" w:cs="Times New Roman"/>
          <w:kern w:val="0"/>
          <w:sz w:val="24"/>
          <w:szCs w:val="24"/>
        </w:rPr>
        <w:t>&lt;</w:t>
      </w:r>
      <w:r w:rsidR="00A702A7"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0.001.</w:t>
      </w:r>
    </w:p>
    <w:p w14:paraId="42EEF065" w14:textId="78CD544D" w:rsidR="008822AF" w:rsidRPr="007D7AB5" w:rsidRDefault="00A702A7" w:rsidP="007D7AB5">
      <w:pPr>
        <w:shd w:val="clear" w:color="auto" w:fill="FFFFFF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A702A7">
        <w:rPr>
          <w:rFonts w:ascii="Times New Roman" w:eastAsia="宋体" w:hAnsi="Times New Roman" w:cs="Times New Roman"/>
          <w:color w:val="000000"/>
          <w:sz w:val="24"/>
          <w:szCs w:val="24"/>
        </w:rPr>
        <w:t>Abbreviations:</w:t>
      </w:r>
      <w:r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DEPDC1B, </w:t>
      </w:r>
      <w:r w:rsidRPr="00A702A7">
        <w:rPr>
          <w:rFonts w:ascii="Times New Roman" w:eastAsia="宋体" w:hAnsi="Times New Roman" w:cs="Times New Roman"/>
          <w:sz w:val="24"/>
          <w:szCs w:val="24"/>
        </w:rPr>
        <w:t xml:space="preserve">DEP domain-containing protein 1B; </w:t>
      </w:r>
      <w:r w:rsidRPr="00A702A7">
        <w:rPr>
          <w:rFonts w:ascii="Times New Roman" w:eastAsia="Corbel-Bold" w:hAnsi="Times New Roman" w:cs="Times New Roman"/>
          <w:bCs/>
          <w:kern w:val="0"/>
          <w:sz w:val="24"/>
          <w:szCs w:val="24"/>
        </w:rPr>
        <w:t xml:space="preserve">EMT, </w:t>
      </w:r>
      <w:r w:rsidRPr="00A702A7">
        <w:rPr>
          <w:rFonts w:ascii="Times New Roman" w:eastAsia="宋体" w:hAnsi="Times New Roman" w:cs="Times New Roman"/>
          <w:sz w:val="24"/>
          <w:szCs w:val="24"/>
        </w:rPr>
        <w:t>epithelial-mesenchymal transition</w:t>
      </w:r>
      <w:r w:rsidRPr="00A702A7">
        <w:rPr>
          <w:rFonts w:ascii="Times New Roman" w:eastAsia="宋体" w:hAnsi="Times New Roman" w:cs="Times New Roman" w:hint="eastAsia"/>
          <w:sz w:val="24"/>
          <w:szCs w:val="24"/>
        </w:rPr>
        <w:t xml:space="preserve">; </w:t>
      </w:r>
      <w:r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>PC, pancreatic cancer</w:t>
      </w:r>
      <w:r w:rsidRPr="00A702A7">
        <w:rPr>
          <w:rFonts w:ascii="Times New Roman" w:eastAsia="MinionPro-Regular" w:hAnsi="Times New Roman" w:cs="Times New Roman" w:hint="eastAsia"/>
          <w:kern w:val="0"/>
          <w:sz w:val="24"/>
          <w:szCs w:val="24"/>
        </w:rPr>
        <w:t xml:space="preserve">; </w:t>
      </w:r>
      <w:r w:rsidRPr="00A702A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qRT-PCR, </w:t>
      </w:r>
      <w:r w:rsidRPr="00A702A7">
        <w:rPr>
          <w:rFonts w:ascii="Times New Roman" w:eastAsia="宋体" w:hAnsi="Times New Roman" w:cs="Times New Roman"/>
          <w:color w:val="000000"/>
          <w:sz w:val="24"/>
          <w:szCs w:val="24"/>
        </w:rPr>
        <w:t>quantitative real-time PCR.</w:t>
      </w:r>
    </w:p>
    <w:sectPr w:rsidR="008822AF" w:rsidRPr="007D7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54582" w14:textId="77777777" w:rsidR="00FD7927" w:rsidRDefault="00FD7927" w:rsidP="00A702A7">
      <w:r>
        <w:separator/>
      </w:r>
    </w:p>
  </w:endnote>
  <w:endnote w:type="continuationSeparator" w:id="0">
    <w:p w14:paraId="1DDD4FFE" w14:textId="77777777" w:rsidR="00FD7927" w:rsidRDefault="00FD7927" w:rsidP="00A70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">
    <w:altName w:val="等线"/>
    <w:charset w:val="86"/>
    <w:family w:val="auto"/>
    <w:pitch w:val="default"/>
    <w:sig w:usb0="00000000" w:usb1="00000000" w:usb2="00000010" w:usb3="00000000" w:csb0="00040000" w:csb1="00000000"/>
  </w:font>
  <w:font w:name="OpenSans-Light,Italic">
    <w:altName w:val="Yu Gothic"/>
    <w:charset w:val="80"/>
    <w:family w:val="auto"/>
    <w:pitch w:val="default"/>
    <w:sig w:usb0="00000000" w:usb1="00000000" w:usb2="00000010" w:usb3="00000000" w:csb0="00020000" w:csb1="00000000"/>
  </w:font>
  <w:font w:name="MinionPro-Regular">
    <w:altName w:val="宋体"/>
    <w:charset w:val="86"/>
    <w:family w:val="roman"/>
    <w:pitch w:val="default"/>
    <w:sig w:usb0="00000000" w:usb1="00000000" w:usb2="00000010" w:usb3="00000000" w:csb0="00040000" w:csb1="00000000"/>
  </w:font>
  <w:font w:name="MinionPro-I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MinionPro-Bold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STIXGeneral-Regular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EuclidSymbol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orbel-Bold">
    <w:altName w:val="等线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ED5B6" w14:textId="77777777" w:rsidR="00FD7927" w:rsidRDefault="00FD7927" w:rsidP="00A702A7">
      <w:r>
        <w:separator/>
      </w:r>
    </w:p>
  </w:footnote>
  <w:footnote w:type="continuationSeparator" w:id="0">
    <w:p w14:paraId="64E69EEB" w14:textId="77777777" w:rsidR="00FD7927" w:rsidRDefault="00FD7927" w:rsidP="00A70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C5FA8"/>
    <w:multiLevelType w:val="multilevel"/>
    <w:tmpl w:val="A9DAB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AF"/>
    <w:rsid w:val="00031A06"/>
    <w:rsid w:val="003A6F3B"/>
    <w:rsid w:val="007D6E77"/>
    <w:rsid w:val="007D7AB5"/>
    <w:rsid w:val="008822AF"/>
    <w:rsid w:val="00A702A7"/>
    <w:rsid w:val="00DD3E39"/>
    <w:rsid w:val="00F90043"/>
    <w:rsid w:val="00FD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753B9"/>
  <w15:chartTrackingRefBased/>
  <w15:docId w15:val="{96609951-EC52-4898-AF82-97935EF0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2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02A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02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02A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702A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702A7"/>
    <w:rPr>
      <w:sz w:val="18"/>
      <w:szCs w:val="18"/>
    </w:rPr>
  </w:style>
  <w:style w:type="paragraph" w:styleId="a9">
    <w:name w:val="List Paragraph"/>
    <w:basedOn w:val="a"/>
    <w:uiPriority w:val="34"/>
    <w:qFormat/>
    <w:rsid w:val="003A6F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freud_t@126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姗</dc:creator>
  <cp:keywords/>
  <dc:description/>
  <cp:lastModifiedBy>张 姗</cp:lastModifiedBy>
  <cp:revision>6</cp:revision>
  <dcterms:created xsi:type="dcterms:W3CDTF">2020-01-14T03:52:00Z</dcterms:created>
  <dcterms:modified xsi:type="dcterms:W3CDTF">2020-01-14T05:07:00Z</dcterms:modified>
</cp:coreProperties>
</file>