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2"/>
        <w:tblW w:w="8820" w:type="dxa"/>
        <w:tblInd w:w="324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593"/>
        <w:gridCol w:w="2409"/>
        <w:gridCol w:w="2331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20" w:type="dxa"/>
            <w:gridSpan w:val="4"/>
            <w:tcBorders>
              <w:bottom w:val="single" w:color="000000" w:sz="1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Table 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. Details of primary antibodies used for Western blotting.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Antibodies</w:t>
            </w:r>
          </w:p>
        </w:tc>
        <w:tc>
          <w:tcPr>
            <w:tcW w:w="15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Dilution</w:t>
            </w:r>
          </w:p>
        </w:tc>
        <w:tc>
          <w:tcPr>
            <w:tcW w:w="240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Supplier</w:t>
            </w:r>
          </w:p>
        </w:tc>
        <w:tc>
          <w:tcPr>
            <w:tcW w:w="233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hint="eastAsia" w:ascii="Arial" w:hAnsi="Arial"/>
                <w:sz w:val="24"/>
                <w:szCs w:val="24"/>
                <w:lang w:val="de-DE"/>
              </w:rPr>
              <w:t>Lot No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op w:val="single" w:color="000000" w:sz="12" w:space="0"/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ascii="Arial" w:hAnsi="Arial"/>
                <w:sz w:val="24"/>
                <w:szCs w:val="24"/>
                <w:lang w:val="zh-TW" w:eastAsia="zh-TW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CD9</w:t>
            </w:r>
          </w:p>
        </w:tc>
        <w:tc>
          <w:tcPr>
            <w:tcW w:w="1593" w:type="dxa"/>
            <w:tcBorders>
              <w:top w:val="single" w:color="000000" w:sz="12" w:space="0"/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5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00</w:t>
            </w:r>
          </w:p>
        </w:tc>
        <w:tc>
          <w:tcPr>
            <w:tcW w:w="2409" w:type="dxa"/>
            <w:tcBorders>
              <w:top w:val="single" w:color="000000" w:sz="12" w:space="0"/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Abcom, UK</w:t>
            </w:r>
          </w:p>
        </w:tc>
        <w:tc>
          <w:tcPr>
            <w:tcW w:w="2331" w:type="dxa"/>
            <w:tcBorders>
              <w:top w:val="single" w:color="000000" w:sz="12" w:space="0"/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ab92726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ascii="Arial" w:hAnsi="Arial"/>
                <w:sz w:val="24"/>
                <w:szCs w:val="24"/>
                <w:lang w:val="zh-TW" w:eastAsia="zh-TW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CD63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1:100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Proteintech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,USA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25682-I-AP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ascii="Arial" w:hAnsi="Arial"/>
                <w:sz w:val="24"/>
                <w:szCs w:val="24"/>
                <w:lang w:val="zh-TW" w:eastAsia="zh-TW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nti-A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lix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1:1000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Abcom, UK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default" w:ascii="Arial" w:hAns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sz w:val="24"/>
                <w:szCs w:val="24"/>
                <w:lang w:val="de-DE"/>
              </w:rPr>
              <w:t>ab117600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 xml:space="preserve"> C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alnexin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5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Santa Cruz, U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SA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sc-11397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Anti-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</w:rPr>
              <w:t>ITGαV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</w:t>
            </w: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Abcom, UK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ab179475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</w:rPr>
              <w:t>ITGβ1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1:2000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Abcom, UK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ab5297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87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nti-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</w:rPr>
              <w:t>ITGβ3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Arial" w:hAnsi="Arial" w:eastAsia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sz w:val="24"/>
                <w:szCs w:val="24"/>
                <w:lang w:val="en-US" w:eastAsia="zh-CN"/>
              </w:rPr>
              <w:t>1:1000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Abcom, UK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ab210515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920"/>
    <w:rsid w:val="0E4A2FBE"/>
    <w:rsid w:val="144F60ED"/>
    <w:rsid w:val="1D836E00"/>
    <w:rsid w:val="1FAC598E"/>
    <w:rsid w:val="29B14623"/>
    <w:rsid w:val="2F185B26"/>
    <w:rsid w:val="34D964DE"/>
    <w:rsid w:val="380E000B"/>
    <w:rsid w:val="38B85FBA"/>
    <w:rsid w:val="3E4D2D5A"/>
    <w:rsid w:val="43AD0A60"/>
    <w:rsid w:val="45274283"/>
    <w:rsid w:val="62A22CAA"/>
    <w:rsid w:val="630219D8"/>
    <w:rsid w:val="666F5134"/>
    <w:rsid w:val="78025E94"/>
    <w:rsid w:val="7F7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n-US" w:eastAsia="en-IN" w:bidi="ar-SA"/>
    </w:rPr>
  </w:style>
  <w:style w:type="paragraph" w:customStyle="1" w:styleId="5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n-US" w:eastAsia="en-IN" w:bidi="ar-SA"/>
    </w:rPr>
  </w:style>
  <w:style w:type="paragraph" w:customStyle="1" w:styleId="6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u w:color="000000"/>
      <w:lang w:val="en-US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Goodluck</dc:creator>
  <cp:lastModifiedBy>焦蕊丽</cp:lastModifiedBy>
  <dcterms:modified xsi:type="dcterms:W3CDTF">2020-05-16T14:41:09Z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