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ED83C" w14:textId="77777777" w:rsidR="00C008EA" w:rsidRPr="00D578FC" w:rsidRDefault="00C008EA" w:rsidP="00C008EA">
      <w:pPr>
        <w:spacing w:line="480" w:lineRule="auto"/>
        <w:contextualSpacing/>
        <w:rPr>
          <w:rFonts w:ascii="Arial" w:eastAsia="游ゴシック" w:hAnsi="Arial" w:cs="Arial"/>
          <w:b/>
          <w:bCs/>
          <w:sz w:val="20"/>
          <w:szCs w:val="20"/>
          <w:lang w:val="en-GB"/>
        </w:rPr>
      </w:pPr>
      <w:r w:rsidRPr="00D578FC">
        <w:rPr>
          <w:rFonts w:ascii="Arial" w:eastAsia="游ゴシック" w:hAnsi="Arial" w:cs="Arial"/>
          <w:b/>
          <w:bCs/>
          <w:sz w:val="20"/>
          <w:szCs w:val="20"/>
          <w:lang w:val="en-GB"/>
        </w:rPr>
        <w:t>Supplementary Table 1. The 2</w:t>
      </w:r>
      <w:r w:rsidRPr="00D578FC">
        <w:rPr>
          <w:rFonts w:ascii="Arial" w:eastAsia="游ゴシック" w:hAnsi="Arial" w:cs="Arial" w:hint="eastAsia"/>
          <w:b/>
          <w:bCs/>
          <w:sz w:val="20"/>
          <w:szCs w:val="20"/>
          <w:lang w:val="en-GB"/>
        </w:rPr>
        <w:t>×</w:t>
      </w:r>
      <w:r w:rsidRPr="00D578FC">
        <w:rPr>
          <w:rFonts w:ascii="Arial" w:eastAsia="游ゴシック" w:hAnsi="Arial" w:cs="Arial"/>
          <w:b/>
          <w:bCs/>
          <w:sz w:val="20"/>
          <w:szCs w:val="20"/>
          <w:lang w:val="en-GB"/>
        </w:rPr>
        <w:t>2 contingency table for pseudo-progression and LDH</w:t>
      </w:r>
    </w:p>
    <w:p w14:paraId="107A31D1" w14:textId="77777777" w:rsidR="00C008EA" w:rsidRPr="00D578FC" w:rsidRDefault="00C008EA" w:rsidP="00C008EA">
      <w:pPr>
        <w:spacing w:line="480" w:lineRule="auto"/>
        <w:contextualSpacing/>
        <w:rPr>
          <w:rFonts w:ascii="Arial" w:eastAsia="游ゴシック" w:hAnsi="Arial" w:cs="Arial"/>
          <w:sz w:val="20"/>
          <w:szCs w:val="20"/>
          <w:lang w:val="en-GB"/>
        </w:rPr>
      </w:pPr>
      <w:r w:rsidRPr="00D578FC">
        <w:rPr>
          <w:rFonts w:ascii="Arial" w:eastAsia="游ゴシック" w:hAnsi="Arial" w:cs="Arial" w:hint="eastAsia"/>
          <w:sz w:val="20"/>
          <w:szCs w:val="20"/>
          <w:lang w:val="en-GB"/>
        </w:rPr>
        <w:t>(</w:t>
      </w:r>
      <w:r w:rsidRPr="00D578FC">
        <w:rPr>
          <w:rFonts w:ascii="Arial" w:eastAsia="游ゴシック" w:hAnsi="Arial" w:cs="Arial"/>
          <w:sz w:val="20"/>
          <w:szCs w:val="20"/>
          <w:lang w:val="en-GB"/>
        </w:rPr>
        <w:t>A)</w:t>
      </w:r>
    </w:p>
    <w:tbl>
      <w:tblPr>
        <w:tblW w:w="4664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702"/>
        <w:gridCol w:w="1698"/>
        <w:gridCol w:w="1698"/>
      </w:tblGrid>
      <w:tr w:rsidR="00C008EA" w:rsidRPr="00D578FC" w14:paraId="65E15E24" w14:textId="77777777" w:rsidTr="00C8741F">
        <w:trPr>
          <w:trHeight w:val="330"/>
        </w:trPr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E55C" w14:textId="77777777" w:rsidR="00C008EA" w:rsidRPr="00D578FC" w:rsidRDefault="00C008EA" w:rsidP="00C874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CCA5F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PsPD</w:t>
            </w:r>
            <w:proofErr w:type="spellEnd"/>
            <w:r w:rsidRPr="00D578FC">
              <w:rPr>
                <w:rFonts w:ascii="Arial" w:eastAsia="メイリオ" w:hAnsi="Arial" w:cs="Arial" w:hint="eastAsia"/>
                <w:kern w:val="0"/>
                <w:sz w:val="20"/>
                <w:szCs w:val="20"/>
                <w:lang w:val="en-GB"/>
              </w:rPr>
              <w:t xml:space="preserve"> </w:t>
            </w: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(n = 4)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C7115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TPD (n = 21)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B12EA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p-value</w:t>
            </w:r>
          </w:p>
        </w:tc>
      </w:tr>
      <w:tr w:rsidR="00C008EA" w:rsidRPr="00D578FC" w14:paraId="14594D40" w14:textId="77777777" w:rsidTr="00C8741F">
        <w:trPr>
          <w:trHeight w:val="330"/>
        </w:trPr>
        <w:tc>
          <w:tcPr>
            <w:tcW w:w="178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81B1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Pre-treatment LDH ≥202 U/L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2B62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 w:hint="eastAsia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1E67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21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A0E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0.02</w:t>
            </w:r>
          </w:p>
        </w:tc>
      </w:tr>
      <w:tr w:rsidR="00C008EA" w:rsidRPr="00D578FC" w14:paraId="4217D9FB" w14:textId="77777777" w:rsidTr="00C8741F">
        <w:trPr>
          <w:trHeight w:val="330"/>
        </w:trPr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552A3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Pre-treatment LDH &lt;202 U/L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00E82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 w:hint="eastAsia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5C28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3695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</w:p>
        </w:tc>
      </w:tr>
    </w:tbl>
    <w:p w14:paraId="28124295" w14:textId="77777777" w:rsidR="00C008EA" w:rsidRPr="00D578FC" w:rsidRDefault="00C008EA" w:rsidP="00C008EA">
      <w:pPr>
        <w:spacing w:line="480" w:lineRule="auto"/>
        <w:contextualSpacing/>
        <w:rPr>
          <w:rFonts w:ascii="Arial" w:eastAsia="游ゴシック" w:hAnsi="Arial" w:cs="Arial"/>
          <w:sz w:val="20"/>
          <w:szCs w:val="20"/>
          <w:lang w:val="en-GB"/>
        </w:rPr>
      </w:pPr>
      <w:r w:rsidRPr="00D578FC">
        <w:rPr>
          <w:rFonts w:ascii="Arial" w:eastAsia="游ゴシック" w:hAnsi="Arial" w:cs="Arial" w:hint="eastAsia"/>
          <w:sz w:val="20"/>
          <w:szCs w:val="20"/>
          <w:lang w:val="en-GB"/>
        </w:rPr>
        <w:t>(</w:t>
      </w:r>
      <w:r w:rsidRPr="00D578FC">
        <w:rPr>
          <w:rFonts w:ascii="Arial" w:eastAsia="游ゴシック" w:hAnsi="Arial" w:cs="Arial"/>
          <w:sz w:val="20"/>
          <w:szCs w:val="20"/>
          <w:lang w:val="en-GB"/>
        </w:rPr>
        <w:t>B)</w:t>
      </w:r>
    </w:p>
    <w:tbl>
      <w:tblPr>
        <w:tblW w:w="466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9"/>
        <w:gridCol w:w="1702"/>
        <w:gridCol w:w="1703"/>
        <w:gridCol w:w="1694"/>
      </w:tblGrid>
      <w:tr w:rsidR="00C008EA" w:rsidRPr="00D578FC" w14:paraId="75DFD058" w14:textId="77777777" w:rsidTr="00C8741F">
        <w:trPr>
          <w:trHeight w:val="330"/>
        </w:trPr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12425" w14:textId="77777777" w:rsidR="00C008EA" w:rsidRPr="00D578FC" w:rsidRDefault="00C008EA" w:rsidP="00C874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48D5C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PsPD</w:t>
            </w:r>
            <w:proofErr w:type="spellEnd"/>
            <w:r w:rsidRPr="00D578FC">
              <w:rPr>
                <w:rFonts w:ascii="Arial" w:eastAsia="メイリオ" w:hAnsi="Arial" w:cs="Arial" w:hint="eastAsia"/>
                <w:kern w:val="0"/>
                <w:sz w:val="20"/>
                <w:szCs w:val="20"/>
                <w:lang w:val="en-GB"/>
              </w:rPr>
              <w:t xml:space="preserve"> </w:t>
            </w: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(n = 4)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EE2B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TPD (n = 21)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C91B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p-value</w:t>
            </w:r>
          </w:p>
        </w:tc>
      </w:tr>
      <w:tr w:rsidR="00C008EA" w:rsidRPr="00D578FC" w14:paraId="4FE4ACBA" w14:textId="77777777" w:rsidTr="00C8741F">
        <w:trPr>
          <w:trHeight w:val="330"/>
        </w:trPr>
        <w:tc>
          <w:tcPr>
            <w:tcW w:w="178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C15F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Post-treatment LDH ≥288 U/L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7A9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698B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13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C999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0.039</w:t>
            </w:r>
          </w:p>
        </w:tc>
      </w:tr>
      <w:tr w:rsidR="00C008EA" w:rsidRPr="00D578FC" w14:paraId="0B4025D1" w14:textId="77777777" w:rsidTr="00C8741F">
        <w:trPr>
          <w:trHeight w:val="330"/>
        </w:trPr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3339E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Post-treatment LDH &lt;288 U/L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FE8EC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78C3D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  <w:r w:rsidRPr="00D578FC">
              <w:rPr>
                <w:rFonts w:ascii="Arial" w:eastAsia="メイリオ" w:hAnsi="Arial" w:cs="Arial" w:hint="eastAsia"/>
                <w:kern w:val="0"/>
                <w:sz w:val="20"/>
                <w:szCs w:val="20"/>
                <w:lang w:val="en-GB"/>
              </w:rPr>
              <w:t>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C639" w14:textId="77777777" w:rsidR="00C008EA" w:rsidRPr="00D578FC" w:rsidRDefault="00C008EA" w:rsidP="00C8741F">
            <w:pPr>
              <w:widowControl/>
              <w:jc w:val="center"/>
              <w:rPr>
                <w:rFonts w:ascii="Arial" w:eastAsia="メイリオ" w:hAnsi="Arial" w:cs="Arial"/>
                <w:kern w:val="0"/>
                <w:sz w:val="20"/>
                <w:szCs w:val="20"/>
                <w:lang w:val="en-GB"/>
              </w:rPr>
            </w:pPr>
          </w:p>
        </w:tc>
      </w:tr>
    </w:tbl>
    <w:p w14:paraId="36F783BD" w14:textId="77777777" w:rsidR="00C008EA" w:rsidRPr="00D578FC" w:rsidRDefault="00C008EA" w:rsidP="00C008EA">
      <w:pPr>
        <w:spacing w:line="480" w:lineRule="auto"/>
        <w:contextualSpacing/>
        <w:rPr>
          <w:rFonts w:ascii="Arial" w:eastAsia="游ゴシック" w:hAnsi="Arial" w:cs="Arial"/>
          <w:sz w:val="24"/>
          <w:szCs w:val="24"/>
          <w:lang w:val="en-GB"/>
        </w:rPr>
      </w:pPr>
      <w:r w:rsidRPr="00D578FC">
        <w:rPr>
          <w:rFonts w:ascii="Arial" w:hAnsi="Arial" w:cs="Arial"/>
          <w:b/>
          <w:sz w:val="20"/>
          <w:szCs w:val="18"/>
          <w:lang w:val="en-GB"/>
        </w:rPr>
        <w:t>Abbreviations:</w:t>
      </w:r>
      <w:r w:rsidRPr="00D578FC">
        <w:rPr>
          <w:rFonts w:ascii="Arial" w:hAnsi="Arial" w:cs="Arial"/>
          <w:sz w:val="20"/>
          <w:szCs w:val="18"/>
          <w:lang w:val="en-GB"/>
        </w:rPr>
        <w:t xml:space="preserve"> LDH, lactate dehydrogenase; </w:t>
      </w:r>
      <w:proofErr w:type="spellStart"/>
      <w:r w:rsidRPr="00D578FC">
        <w:rPr>
          <w:rFonts w:ascii="Arial" w:hAnsi="Arial" w:cs="Arial"/>
          <w:sz w:val="20"/>
          <w:szCs w:val="18"/>
          <w:lang w:val="en-GB"/>
        </w:rPr>
        <w:t>PsPD</w:t>
      </w:r>
      <w:proofErr w:type="spellEnd"/>
      <w:r w:rsidRPr="00D578FC">
        <w:rPr>
          <w:rFonts w:ascii="Arial" w:hAnsi="Arial" w:cs="Arial"/>
          <w:sz w:val="20"/>
          <w:szCs w:val="18"/>
          <w:lang w:val="en-GB"/>
        </w:rPr>
        <w:t>, pseudo-progression; TPD, true progressive disease.</w:t>
      </w:r>
    </w:p>
    <w:p w14:paraId="5085C812" w14:textId="77777777" w:rsidR="00C008EA" w:rsidRPr="00D578FC" w:rsidRDefault="00C008EA" w:rsidP="00C008EA">
      <w:pPr>
        <w:widowControl/>
        <w:spacing w:line="480" w:lineRule="auto"/>
        <w:jc w:val="left"/>
        <w:rPr>
          <w:rFonts w:ascii="Arial" w:eastAsia="游ゴシック" w:hAnsi="Arial" w:cs="Arial"/>
          <w:b/>
          <w:sz w:val="24"/>
          <w:szCs w:val="24"/>
          <w:lang w:val="en-GB"/>
        </w:rPr>
      </w:pPr>
      <w:r w:rsidRPr="00D578FC">
        <w:rPr>
          <w:rFonts w:ascii="Arial" w:eastAsia="游ゴシック" w:hAnsi="Arial" w:cs="Arial"/>
          <w:b/>
          <w:sz w:val="24"/>
          <w:szCs w:val="24"/>
          <w:lang w:val="en-GB"/>
        </w:rPr>
        <w:br w:type="page"/>
      </w:r>
    </w:p>
    <w:p w14:paraId="37592F49" w14:textId="77777777" w:rsidR="009C5F84" w:rsidRDefault="009C5F84" w:rsidP="009C5F84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noProof/>
        </w:rPr>
        <w:lastRenderedPageBreak/>
        <w:drawing>
          <wp:inline distT="0" distB="0" distL="0" distR="0" wp14:anchorId="7384BBC7" wp14:editId="4624C3AB">
            <wp:extent cx="5400040" cy="26955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8FC">
        <w:rPr>
          <w:rFonts w:ascii="Arial" w:hAnsi="Arial" w:cs="Arial"/>
          <w:b/>
          <w:sz w:val="20"/>
          <w:szCs w:val="20"/>
          <w:lang w:val="en-GB"/>
        </w:rPr>
        <w:t xml:space="preserve">Supplementary </w:t>
      </w:r>
      <w:r w:rsidRPr="00D578FC">
        <w:rPr>
          <w:rFonts w:ascii="Arial" w:hAnsi="Arial" w:cs="Arial" w:hint="eastAsia"/>
          <w:b/>
          <w:sz w:val="20"/>
          <w:szCs w:val="20"/>
          <w:lang w:val="en-GB"/>
        </w:rPr>
        <w:t>F</w:t>
      </w:r>
      <w:r w:rsidRPr="00D578FC">
        <w:rPr>
          <w:rFonts w:ascii="Arial" w:hAnsi="Arial" w:cs="Arial"/>
          <w:b/>
          <w:sz w:val="20"/>
          <w:szCs w:val="20"/>
          <w:lang w:val="en-GB"/>
        </w:rPr>
        <w:t>igur</w:t>
      </w:r>
      <w:bookmarkStart w:id="0" w:name="_GoBack"/>
      <w:bookmarkEnd w:id="0"/>
      <w:r w:rsidRPr="00D578FC">
        <w:rPr>
          <w:rFonts w:ascii="Arial" w:hAnsi="Arial" w:cs="Arial"/>
          <w:b/>
          <w:sz w:val="20"/>
          <w:szCs w:val="20"/>
          <w:lang w:val="en-GB"/>
        </w:rPr>
        <w:t>e 1. Receiver operating characteristic (ROC) curve analysis for the derived neutrophil-to-lymphocyte ratio (</w:t>
      </w:r>
      <w:proofErr w:type="spellStart"/>
      <w:r w:rsidRPr="00D578FC">
        <w:rPr>
          <w:rFonts w:ascii="Arial" w:hAnsi="Arial" w:cs="Arial"/>
          <w:b/>
          <w:sz w:val="20"/>
          <w:szCs w:val="20"/>
          <w:lang w:val="en-GB"/>
        </w:rPr>
        <w:t>dNLR</w:t>
      </w:r>
      <w:proofErr w:type="spellEnd"/>
      <w:r w:rsidRPr="00D578FC">
        <w:rPr>
          <w:rFonts w:ascii="Arial" w:hAnsi="Arial" w:cs="Arial"/>
          <w:b/>
          <w:sz w:val="20"/>
          <w:szCs w:val="20"/>
          <w:lang w:val="en-GB"/>
        </w:rPr>
        <w:t xml:space="preserve">). </w:t>
      </w:r>
      <w:r w:rsidRPr="00D578FC">
        <w:rPr>
          <w:rFonts w:ascii="Arial" w:hAnsi="Arial" w:cs="Arial"/>
          <w:bCs/>
          <w:sz w:val="20"/>
          <w:szCs w:val="20"/>
          <w:lang w:val="en-GB"/>
        </w:rPr>
        <w:t>(A) Pre</w:t>
      </w:r>
      <w:r>
        <w:rPr>
          <w:rFonts w:ascii="Arial" w:hAnsi="Arial" w:cs="Arial"/>
          <w:bCs/>
          <w:sz w:val="20"/>
          <w:szCs w:val="20"/>
          <w:lang w:val="en-GB"/>
        </w:rPr>
        <w:t>-</w:t>
      </w:r>
      <w:r w:rsidRPr="00D578FC">
        <w:rPr>
          <w:rFonts w:ascii="Arial" w:hAnsi="Arial" w:cs="Arial"/>
          <w:bCs/>
          <w:sz w:val="20"/>
          <w:szCs w:val="20"/>
          <w:lang w:val="en-GB"/>
        </w:rPr>
        <w:t xml:space="preserve">treatment and (B) post-treatment </w:t>
      </w:r>
      <w:proofErr w:type="spellStart"/>
      <w:r w:rsidRPr="00D578FC">
        <w:rPr>
          <w:rFonts w:ascii="Arial" w:hAnsi="Arial" w:cs="Arial"/>
          <w:bCs/>
          <w:sz w:val="20"/>
          <w:szCs w:val="20"/>
          <w:lang w:val="en-GB"/>
        </w:rPr>
        <w:t>dNLR</w:t>
      </w:r>
      <w:proofErr w:type="spellEnd"/>
      <w:r w:rsidRPr="00D578FC">
        <w:rPr>
          <w:rFonts w:ascii="Arial" w:hAnsi="Arial" w:cs="Arial"/>
          <w:bCs/>
          <w:sz w:val="20"/>
          <w:szCs w:val="20"/>
          <w:lang w:val="en-GB"/>
        </w:rPr>
        <w:t xml:space="preserve">. The analysis was performed to determine the most appropriate </w:t>
      </w:r>
      <w:proofErr w:type="spellStart"/>
      <w:r w:rsidRPr="00D578FC">
        <w:rPr>
          <w:rFonts w:ascii="Arial" w:hAnsi="Arial" w:cs="Arial"/>
          <w:bCs/>
          <w:sz w:val="20"/>
          <w:szCs w:val="20"/>
          <w:lang w:val="en-GB"/>
        </w:rPr>
        <w:t>dNLR</w:t>
      </w:r>
      <w:proofErr w:type="spellEnd"/>
      <w:r w:rsidRPr="00D578FC">
        <w:rPr>
          <w:rFonts w:ascii="Arial" w:hAnsi="Arial" w:cs="Arial"/>
          <w:bCs/>
          <w:sz w:val="20"/>
          <w:szCs w:val="20"/>
          <w:lang w:val="en-GB"/>
        </w:rPr>
        <w:t xml:space="preserve"> cut-off value that could identify patients with pseudo-progression. The sensitivity and specificity values were computed to determine the cut-off point that would maximize the sum of the number of true positive and true negative predictions.</w:t>
      </w:r>
    </w:p>
    <w:p w14:paraId="7377C7B4" w14:textId="77777777" w:rsidR="009C5F84" w:rsidRDefault="009C5F84" w:rsidP="009C5F84">
      <w:pPr>
        <w:widowControl/>
        <w:spacing w:line="48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55352978" w14:textId="77777777" w:rsidR="00E50185" w:rsidRPr="009C5F84" w:rsidRDefault="00C008EA" w:rsidP="009C5F84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noProof/>
        </w:rPr>
        <w:lastRenderedPageBreak/>
        <w:drawing>
          <wp:inline distT="0" distB="0" distL="0" distR="0" wp14:anchorId="0B735310" wp14:editId="62463B6B">
            <wp:extent cx="5400040" cy="26955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F84">
        <w:rPr>
          <w:rFonts w:ascii="Arial" w:hAnsi="Arial" w:cs="Arial"/>
          <w:b/>
          <w:sz w:val="20"/>
          <w:szCs w:val="20"/>
          <w:lang w:val="en-GB"/>
        </w:rPr>
        <w:t xml:space="preserve">Supplementary </w:t>
      </w:r>
      <w:r w:rsidR="009C5F84" w:rsidRPr="00D578FC">
        <w:rPr>
          <w:rFonts w:ascii="Arial" w:hAnsi="Arial" w:cs="Arial" w:hint="eastAsia"/>
          <w:b/>
          <w:sz w:val="20"/>
          <w:szCs w:val="20"/>
          <w:lang w:val="en-GB"/>
        </w:rPr>
        <w:t>F</w:t>
      </w:r>
      <w:r w:rsidR="009C5F84" w:rsidRPr="00D578FC">
        <w:rPr>
          <w:rFonts w:ascii="Arial" w:hAnsi="Arial" w:cs="Arial"/>
          <w:b/>
          <w:sz w:val="20"/>
          <w:szCs w:val="20"/>
          <w:lang w:val="en-GB"/>
        </w:rPr>
        <w:t xml:space="preserve">igure </w:t>
      </w:r>
      <w:r w:rsidR="009C5F84">
        <w:rPr>
          <w:rFonts w:ascii="Arial" w:hAnsi="Arial" w:cs="Arial" w:hint="eastAsia"/>
          <w:b/>
          <w:sz w:val="20"/>
          <w:szCs w:val="20"/>
          <w:lang w:val="en-GB"/>
        </w:rPr>
        <w:t>2</w:t>
      </w:r>
      <w:r w:rsidR="009C5F84" w:rsidRPr="00D578FC">
        <w:rPr>
          <w:rFonts w:ascii="Arial" w:hAnsi="Arial" w:cs="Arial"/>
          <w:b/>
          <w:sz w:val="20"/>
          <w:szCs w:val="20"/>
          <w:lang w:val="en-GB"/>
        </w:rPr>
        <w:t xml:space="preserve">. Survival analysis. 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>Overall survival analysis using the Kaplan–Meier method in 25 patients (A) with a pre</w:t>
      </w:r>
      <w:r w:rsidR="009C5F84">
        <w:rPr>
          <w:rFonts w:ascii="Arial" w:hAnsi="Arial" w:cs="Arial"/>
          <w:bCs/>
          <w:sz w:val="20"/>
          <w:szCs w:val="20"/>
          <w:lang w:val="en-GB"/>
        </w:rPr>
        <w:t>-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 xml:space="preserve">treatment </w:t>
      </w:r>
      <w:r w:rsidR="009C5F84">
        <w:rPr>
          <w:rFonts w:ascii="Arial" w:hAnsi="Arial" w:cs="Arial"/>
          <w:bCs/>
          <w:sz w:val="20"/>
          <w:szCs w:val="20"/>
          <w:lang w:val="en-GB"/>
        </w:rPr>
        <w:t>lactate dehydrogenase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 xml:space="preserve"> (</w:t>
      </w:r>
      <w:r w:rsidR="009C5F84">
        <w:rPr>
          <w:rFonts w:ascii="Arial" w:hAnsi="Arial" w:cs="Arial"/>
          <w:bCs/>
          <w:sz w:val="20"/>
          <w:szCs w:val="20"/>
          <w:lang w:val="en-GB"/>
        </w:rPr>
        <w:t>LDH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>) ≥</w:t>
      </w:r>
      <w:r w:rsidR="009C5F84">
        <w:rPr>
          <w:rFonts w:ascii="Arial" w:hAnsi="Arial" w:cs="Arial"/>
          <w:bCs/>
          <w:sz w:val="20"/>
          <w:szCs w:val="20"/>
          <w:lang w:val="en-GB"/>
        </w:rPr>
        <w:t>202 U/L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 xml:space="preserve"> and &lt;</w:t>
      </w:r>
      <w:r w:rsidR="009C5F84">
        <w:rPr>
          <w:rFonts w:ascii="Arial" w:hAnsi="Arial" w:cs="Arial"/>
          <w:bCs/>
          <w:sz w:val="20"/>
          <w:szCs w:val="20"/>
          <w:lang w:val="en-GB"/>
        </w:rPr>
        <w:t>202 U/L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 xml:space="preserve"> and (B) a post-treatment </w:t>
      </w:r>
      <w:r w:rsidR="009C5F84">
        <w:rPr>
          <w:rFonts w:ascii="Arial" w:hAnsi="Arial" w:cs="Arial"/>
          <w:bCs/>
          <w:sz w:val="20"/>
          <w:szCs w:val="20"/>
          <w:lang w:val="en-GB"/>
        </w:rPr>
        <w:t>LDH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 xml:space="preserve"> ≥</w:t>
      </w:r>
      <w:r w:rsidR="009C5F84">
        <w:rPr>
          <w:rFonts w:ascii="Arial" w:hAnsi="Arial" w:cs="Arial"/>
          <w:bCs/>
          <w:sz w:val="20"/>
          <w:szCs w:val="20"/>
          <w:lang w:val="en-GB"/>
        </w:rPr>
        <w:t>288 U/L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 xml:space="preserve"> and &lt;</w:t>
      </w:r>
      <w:r w:rsidR="009C5F84">
        <w:rPr>
          <w:rFonts w:ascii="Arial" w:hAnsi="Arial" w:cs="Arial"/>
          <w:bCs/>
          <w:sz w:val="20"/>
          <w:szCs w:val="20"/>
          <w:lang w:val="en-GB"/>
        </w:rPr>
        <w:t>288 U/L</w:t>
      </w:r>
      <w:r w:rsidR="009C5F84" w:rsidRPr="00D578FC">
        <w:rPr>
          <w:rFonts w:ascii="Arial" w:hAnsi="Arial" w:cs="Arial"/>
          <w:bCs/>
          <w:sz w:val="20"/>
          <w:szCs w:val="20"/>
          <w:lang w:val="en-GB"/>
        </w:rPr>
        <w:t>.</w:t>
      </w:r>
    </w:p>
    <w:sectPr w:rsidR="00E50185" w:rsidRPr="009C5F84" w:rsidSect="00BE6043">
      <w:footerReference w:type="default" r:id="rId7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S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2794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1E847F" w14:textId="77777777" w:rsidR="00245F87" w:rsidRPr="00D578FC" w:rsidRDefault="00C008EA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D578FC">
          <w:rPr>
            <w:rFonts w:ascii="Arial" w:hAnsi="Arial" w:cs="Arial"/>
            <w:sz w:val="20"/>
            <w:szCs w:val="20"/>
          </w:rPr>
          <w:fldChar w:fldCharType="begin"/>
        </w:r>
        <w:r w:rsidRPr="00D578FC">
          <w:rPr>
            <w:rFonts w:ascii="Arial" w:hAnsi="Arial" w:cs="Arial"/>
            <w:sz w:val="20"/>
            <w:szCs w:val="20"/>
          </w:rPr>
          <w:instrText>PAGE   \* MERGEFORMAT</w:instrText>
        </w:r>
        <w:r w:rsidRPr="00D578FC">
          <w:rPr>
            <w:rFonts w:ascii="Arial" w:hAnsi="Arial" w:cs="Arial"/>
            <w:sz w:val="20"/>
            <w:szCs w:val="20"/>
          </w:rPr>
          <w:fldChar w:fldCharType="separate"/>
        </w:r>
        <w:r w:rsidRPr="00F2028D">
          <w:rPr>
            <w:rFonts w:ascii="Arial" w:hAnsi="Arial" w:cs="Arial"/>
            <w:noProof/>
            <w:sz w:val="20"/>
            <w:szCs w:val="20"/>
            <w:lang w:val="ja-JP"/>
          </w:rPr>
          <w:t>1</w:t>
        </w:r>
        <w:r w:rsidRPr="00D578F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CDE290" w14:textId="77777777" w:rsidR="00245F87" w:rsidRDefault="00C008E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84"/>
    <w:rsid w:val="006D333D"/>
    <w:rsid w:val="00957A3C"/>
    <w:rsid w:val="009C5F84"/>
    <w:rsid w:val="00C008EA"/>
    <w:rsid w:val="00E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1BF92"/>
  <w15:chartTrackingRefBased/>
  <w15:docId w15:val="{5129E7F0-64F9-4D17-B7D4-30C9B24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5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5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C5F84"/>
  </w:style>
  <w:style w:type="character" w:styleId="a5">
    <w:name w:val="line number"/>
    <w:basedOn w:val="a0"/>
    <w:uiPriority w:val="99"/>
    <w:semiHidden/>
    <w:unhideWhenUsed/>
    <w:rsid w:val="009C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FB4C-E109-49C8-92BA-FFC484B2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辰徳 桐生</dc:creator>
  <cp:keywords/>
  <dc:description/>
  <cp:lastModifiedBy>辰徳 桐生</cp:lastModifiedBy>
  <cp:revision>1</cp:revision>
  <dcterms:created xsi:type="dcterms:W3CDTF">2019-11-02T10:26:00Z</dcterms:created>
  <dcterms:modified xsi:type="dcterms:W3CDTF">2019-11-02T10:42:00Z</dcterms:modified>
</cp:coreProperties>
</file>