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49DBD" w14:textId="77777777" w:rsidR="0035363D" w:rsidRPr="0035363D" w:rsidRDefault="0035363D" w:rsidP="0035363D">
      <w:pPr>
        <w:spacing w:line="48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5363D">
        <w:rPr>
          <w:rFonts w:ascii="Arial" w:hAnsi="Arial" w:cs="Arial"/>
          <w:b/>
          <w:sz w:val="20"/>
          <w:szCs w:val="20"/>
        </w:rPr>
        <w:t>Appendix 1</w:t>
      </w:r>
      <w:r w:rsidRPr="0035363D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nclusion and exclusion criteria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5363D" w:rsidRPr="0035363D" w14:paraId="78B02951" w14:textId="77777777" w:rsidTr="00CA2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226430C8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Inclusion criteria:</w:t>
            </w:r>
          </w:p>
        </w:tc>
      </w:tr>
      <w:tr w:rsidR="0035363D" w:rsidRPr="0035363D" w14:paraId="24201EF9" w14:textId="77777777" w:rsidTr="00CA2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192DFF44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1. Age ranges from 14 to 70 years old.</w:t>
            </w:r>
          </w:p>
          <w:p w14:paraId="14A68A7B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2. Histological confirmed diffuse large B cell lymphoma with at least one measurable lesion as defined by </w:t>
            </w:r>
            <w:proofErr w:type="spellStart"/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Cheson</w:t>
            </w:r>
            <w:proofErr w:type="spellEnd"/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 criteria; </w:t>
            </w:r>
          </w:p>
          <w:p w14:paraId="541B3BB1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3. An Eastern Cooperative Oncology </w:t>
            </w:r>
            <w:proofErr w:type="gramStart"/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Group(</w:t>
            </w:r>
            <w:proofErr w:type="gramEnd"/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ECOG) performance status of 0-2;</w:t>
            </w:r>
          </w:p>
          <w:p w14:paraId="33CDD92E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4. An expected survival of ≥ 3 months;</w:t>
            </w:r>
          </w:p>
          <w:p w14:paraId="7B11986B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5. Have taken and failed at least two prior chemotherapy regimens (We define treatment failure as disease progression or intolerable adverse events); </w:t>
            </w:r>
          </w:p>
          <w:p w14:paraId="6D11317C" w14:textId="77777777" w:rsidR="0035363D" w:rsidRPr="0035363D" w:rsidRDefault="0035363D" w:rsidP="0035363D">
            <w:pPr>
              <w:spacing w:line="480" w:lineRule="auto"/>
              <w:ind w:leftChars="150" w:left="315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Note: (</w:t>
            </w:r>
            <w:proofErr w:type="gramStart"/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1)Patients</w:t>
            </w:r>
            <w:proofErr w:type="gramEnd"/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 accomplished no less than one full cycle for any line of treatment. (2) We allow for targeted drug combined with chemotherapy in previous treatments; </w:t>
            </w:r>
          </w:p>
          <w:p w14:paraId="47A4628C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6. Major organ function meet the following criteria; </w:t>
            </w:r>
          </w:p>
          <w:p w14:paraId="0865827C" w14:textId="77777777" w:rsidR="0035363D" w:rsidRPr="0035363D" w:rsidRDefault="0035363D" w:rsidP="0035363D">
            <w:pPr>
              <w:spacing w:line="480" w:lineRule="auto"/>
              <w:ind w:leftChars="150" w:left="315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(1) Blood routine test (without blood transfusion within 14 days):</w:t>
            </w:r>
          </w:p>
          <w:p w14:paraId="394B788F" w14:textId="77777777" w:rsidR="0035363D" w:rsidRPr="0035363D" w:rsidRDefault="0035363D" w:rsidP="0035363D">
            <w:pPr>
              <w:spacing w:line="480" w:lineRule="auto"/>
              <w:ind w:leftChars="150" w:left="315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a. absolute neutrophil count (ANC) ≥ 1.5 × 10</w:t>
            </w:r>
            <w:r w:rsidRPr="0035363D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9</w:t>
            </w: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 / L </w:t>
            </w:r>
          </w:p>
          <w:p w14:paraId="1F5CD18E" w14:textId="77777777" w:rsidR="0035363D" w:rsidRPr="0035363D" w:rsidRDefault="0035363D" w:rsidP="0035363D">
            <w:pPr>
              <w:spacing w:line="480" w:lineRule="auto"/>
              <w:ind w:leftChars="150" w:left="315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b. </w:t>
            </w:r>
            <w:proofErr w:type="spellStart"/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haemoglobin</w:t>
            </w:r>
            <w:proofErr w:type="spellEnd"/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 concentration (HB) ≥ 8.0g/dL</w:t>
            </w:r>
          </w:p>
          <w:p w14:paraId="46DFF2A0" w14:textId="77777777" w:rsidR="0035363D" w:rsidRPr="0035363D" w:rsidRDefault="0035363D" w:rsidP="0035363D">
            <w:pPr>
              <w:spacing w:line="480" w:lineRule="auto"/>
              <w:ind w:leftChars="150" w:left="315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c. platelet count (PLT) ≥ 75 × 109 / L </w:t>
            </w:r>
          </w:p>
          <w:p w14:paraId="186BCD41" w14:textId="77777777" w:rsidR="0035363D" w:rsidRPr="0035363D" w:rsidRDefault="0035363D" w:rsidP="0035363D">
            <w:pPr>
              <w:spacing w:line="480" w:lineRule="auto"/>
              <w:ind w:leftChars="150" w:left="315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(2) Biochemical tests results: </w:t>
            </w:r>
          </w:p>
          <w:p w14:paraId="7AADE404" w14:textId="77777777" w:rsidR="0035363D" w:rsidRPr="0035363D" w:rsidRDefault="0035363D" w:rsidP="0035363D">
            <w:pPr>
              <w:spacing w:line="480" w:lineRule="auto"/>
              <w:ind w:leftChars="150" w:left="315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a. total bilirubin &lt;1.5 times the upper limit of normal (ULN) </w:t>
            </w:r>
          </w:p>
          <w:p w14:paraId="7C117080" w14:textId="77777777" w:rsidR="0035363D" w:rsidRPr="0035363D" w:rsidRDefault="0035363D" w:rsidP="0035363D">
            <w:pPr>
              <w:spacing w:line="480" w:lineRule="auto"/>
              <w:ind w:leftChars="150" w:left="315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b. alanine aminotransferase (ALT) and aspartate aminotransferase (AST) &lt;2.0×ULN; </w:t>
            </w:r>
          </w:p>
          <w:p w14:paraId="4415D2DD" w14:textId="77777777" w:rsidR="0035363D" w:rsidRPr="0035363D" w:rsidRDefault="0035363D" w:rsidP="0035363D">
            <w:pPr>
              <w:spacing w:line="480" w:lineRule="auto"/>
              <w:ind w:leftChars="150" w:left="315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c. Serum Cr ≤ 1×ULN, endogenous creatinine </w:t>
            </w:r>
            <w:proofErr w:type="gramStart"/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clearance(</w:t>
            </w:r>
            <w:proofErr w:type="spellStart"/>
            <w:proofErr w:type="gramEnd"/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Ccr</w:t>
            </w:r>
            <w:proofErr w:type="spellEnd"/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) &gt;50ml/min (by Cockcroft-Gault formula) </w:t>
            </w:r>
          </w:p>
          <w:p w14:paraId="14474593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7. Pregnancy test (serum or urine) of women at reproductive age must be negative.</w:t>
            </w:r>
          </w:p>
          <w:p w14:paraId="0D44D15A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8. Patient </w:t>
            </w:r>
            <w:proofErr w:type="gramStart"/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has to</w:t>
            </w:r>
            <w:proofErr w:type="gramEnd"/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 join the study voluntarily and sign the informed consent for the study. 9. Be willing to comply with follow-up procedures.  </w:t>
            </w:r>
          </w:p>
        </w:tc>
      </w:tr>
      <w:tr w:rsidR="0035363D" w:rsidRPr="0035363D" w14:paraId="5F02DDCC" w14:textId="77777777" w:rsidTr="00CA2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7F50EF8D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lastRenderedPageBreak/>
              <w:t>Exclusion criteria:</w:t>
            </w:r>
          </w:p>
        </w:tc>
      </w:tr>
      <w:tr w:rsidR="0035363D" w:rsidRPr="0035363D" w14:paraId="1D477F56" w14:textId="77777777" w:rsidTr="00CA2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0C03B268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1. Suffering from other malignancies previously (except for cured basal cell carcinoma and cervical carcinoma in situ) or coexisting malignancies currently; </w:t>
            </w:r>
          </w:p>
          <w:p w14:paraId="04DFE45A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2. Patients with unmanageable hypertension (systolic blood pressure≥140 mmHg/diastolic blood pressure ≥ 90 mmHg and cannot be controlled successfully by drugs), unstable angina or heart failure with cardiac function higher than grade II as defined by the New York Heart Association (NYHA);</w:t>
            </w:r>
          </w:p>
          <w:p w14:paraId="1C47F663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3. High gastrointestinal bleeding risk, including: active ulcerative lesions with occult blood test positive; history of black stool, melena or hematemesis history within 3 months before this study; </w:t>
            </w:r>
          </w:p>
          <w:p w14:paraId="0FC3F575" w14:textId="77777777" w:rsidR="0035363D" w:rsidRPr="0035363D" w:rsidRDefault="0035363D" w:rsidP="0035363D">
            <w:pPr>
              <w:spacing w:line="480" w:lineRule="auto"/>
              <w:ind w:leftChars="150" w:left="315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Note: an endoscope examination was needed for patients with primary gastrointestinal DLBCL whose occult blood test were positive. </w:t>
            </w:r>
          </w:p>
          <w:p w14:paraId="6BAC3389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4. Factors that could interfere with oral medication (such as inability to swallow, chronic diarrhea and intestinal obstruction); </w:t>
            </w:r>
          </w:p>
          <w:p w14:paraId="48420B26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5. Abnormal Coagulation function (INR&gt;1.5</w:t>
            </w: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、</w:t>
            </w: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APTT&gt;1.5 UNL), with tendency of bleed</w:t>
            </w:r>
          </w:p>
          <w:p w14:paraId="28B29EBA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6. Associated with CNS (central nervous system) metastases;  </w:t>
            </w:r>
          </w:p>
          <w:p w14:paraId="67800AF4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7. 24 hours urinary protein excretion ≥ 1.0g;</w:t>
            </w:r>
          </w:p>
          <w:p w14:paraId="36311420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8. Allergic of any of drug in this regimen or with metabolic disorder;</w:t>
            </w:r>
          </w:p>
          <w:p w14:paraId="13DDCF2B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9. Participated in other clinical study within 4 weeks; </w:t>
            </w:r>
          </w:p>
          <w:p w14:paraId="3F61594C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10. Prior treatment with VEGFR inhibitors; </w:t>
            </w:r>
          </w:p>
          <w:p w14:paraId="14AB86B0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11. Serious concomitant medical illness likely to interfere with participation judged by investigators.</w:t>
            </w:r>
          </w:p>
          <w:p w14:paraId="135ACBC2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12. Patients estimated to be unsuitable by investigator.</w:t>
            </w:r>
          </w:p>
        </w:tc>
      </w:tr>
      <w:tr w:rsidR="0035363D" w:rsidRPr="0035363D" w14:paraId="478F0EA7" w14:textId="77777777" w:rsidTr="00CA2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5AECC003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lastRenderedPageBreak/>
              <w:t>Drop out/removal criteria</w:t>
            </w:r>
            <w:r w:rsidRPr="0035363D">
              <w:rPr>
                <w:rFonts w:ascii="Arial" w:hAnsi="Arial" w:cs="Arial"/>
                <w:sz w:val="20"/>
                <w:szCs w:val="20"/>
              </w:rPr>
              <w:t>：</w:t>
            </w:r>
          </w:p>
        </w:tc>
      </w:tr>
      <w:tr w:rsidR="0035363D" w:rsidRPr="0035363D" w14:paraId="1A17A0EA" w14:textId="77777777" w:rsidTr="00CA2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5631F528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1. Patients do not follow the study protocol.  </w:t>
            </w:r>
          </w:p>
          <w:p w14:paraId="5596ED3A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2. Application of any CFDA approved anti-tumor traditional Chinese medicine or other relative treatments including immunotherapy. (Anti-bone metastasis therapy and other supportive symptomatic treatments are allowed.) </w:t>
            </w:r>
          </w:p>
        </w:tc>
      </w:tr>
      <w:tr w:rsidR="0035363D" w:rsidRPr="0035363D" w14:paraId="633DB830" w14:textId="77777777" w:rsidTr="00CA2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1784F87E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Discontinue criteria</w:t>
            </w:r>
            <w:r w:rsidRPr="0035363D">
              <w:rPr>
                <w:rFonts w:ascii="Arial" w:hAnsi="Arial" w:cs="Arial"/>
                <w:sz w:val="20"/>
                <w:szCs w:val="20"/>
              </w:rPr>
              <w:t>：</w:t>
            </w:r>
          </w:p>
        </w:tc>
      </w:tr>
      <w:tr w:rsidR="0035363D" w:rsidRPr="0035363D" w14:paraId="2DB28A0C" w14:textId="77777777" w:rsidTr="00CA2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51CFEF0A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1. Patients withdraw with informed consent;  </w:t>
            </w:r>
          </w:p>
          <w:p w14:paraId="31123829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2. Confirmed disease progression; </w:t>
            </w:r>
          </w:p>
          <w:p w14:paraId="23015B75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3. Pregnancy during the study; </w:t>
            </w:r>
          </w:p>
          <w:p w14:paraId="061E53D3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 xml:space="preserve">4. Intolerable toxicity even after 3 times of dose reduction; </w:t>
            </w:r>
          </w:p>
          <w:p w14:paraId="54828198" w14:textId="77777777" w:rsidR="0035363D" w:rsidRPr="0035363D" w:rsidRDefault="0035363D" w:rsidP="0035363D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363D">
              <w:rPr>
                <w:rFonts w:ascii="Arial" w:hAnsi="Arial" w:cs="Arial"/>
                <w:b w:val="0"/>
                <w:sz w:val="20"/>
                <w:szCs w:val="20"/>
              </w:rPr>
              <w:t>5. Other conditions that investigators believe it is necessary to withdraw a patient from the study.</w:t>
            </w:r>
          </w:p>
        </w:tc>
      </w:tr>
    </w:tbl>
    <w:p w14:paraId="3566C26E" w14:textId="77777777" w:rsidR="004C07D0" w:rsidRDefault="004C07D0"/>
    <w:p w14:paraId="423DC828" w14:textId="77777777" w:rsidR="0035363D" w:rsidRDefault="0035363D"/>
    <w:p w14:paraId="57348A56" w14:textId="77777777" w:rsidR="0035363D" w:rsidRDefault="0035363D"/>
    <w:p w14:paraId="15ABDCFC" w14:textId="77777777" w:rsidR="0035363D" w:rsidRDefault="0035363D"/>
    <w:p w14:paraId="7D497DEB" w14:textId="77777777" w:rsidR="0035363D" w:rsidRDefault="0035363D"/>
    <w:p w14:paraId="0770A06D" w14:textId="77777777" w:rsidR="0035363D" w:rsidRDefault="0035363D"/>
    <w:p w14:paraId="06C73969" w14:textId="77777777" w:rsidR="0035363D" w:rsidRDefault="0035363D"/>
    <w:p w14:paraId="23F23362" w14:textId="77777777" w:rsidR="0035363D" w:rsidRDefault="0035363D"/>
    <w:p w14:paraId="1DA9FFF5" w14:textId="77777777" w:rsidR="0035363D" w:rsidRDefault="0035363D"/>
    <w:p w14:paraId="1DCD2D2D" w14:textId="77777777" w:rsidR="0035363D" w:rsidRDefault="0035363D"/>
    <w:p w14:paraId="634AE2A6" w14:textId="77777777" w:rsidR="0035363D" w:rsidRDefault="0035363D"/>
    <w:p w14:paraId="4AE5E933" w14:textId="77777777" w:rsidR="0035363D" w:rsidRDefault="0035363D"/>
    <w:p w14:paraId="71301CC5" w14:textId="77777777" w:rsidR="0035363D" w:rsidRDefault="0035363D"/>
    <w:p w14:paraId="5DCCAA33" w14:textId="77777777" w:rsidR="0035363D" w:rsidRDefault="0035363D"/>
    <w:p w14:paraId="0FAA5174" w14:textId="77777777" w:rsidR="0035363D" w:rsidRPr="0035363D" w:rsidRDefault="0035363D" w:rsidP="0035363D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0"/>
          <w:szCs w:val="20"/>
        </w:rPr>
      </w:pPr>
      <w:r w:rsidRPr="0035363D">
        <w:rPr>
          <w:rFonts w:ascii="Arial" w:hAnsi="Arial" w:cs="Arial"/>
          <w:b/>
          <w:sz w:val="20"/>
          <w:szCs w:val="20"/>
        </w:rPr>
        <w:lastRenderedPageBreak/>
        <w:t>Appendix 2</w:t>
      </w:r>
      <w:r w:rsidRPr="0035363D">
        <w:rPr>
          <w:rFonts w:ascii="Arial" w:hAnsi="Arial" w:cs="Arial"/>
          <w:sz w:val="20"/>
          <w:szCs w:val="20"/>
        </w:rPr>
        <w:t xml:space="preserve"> Comparison of clinical characteristics of </w:t>
      </w:r>
      <w:proofErr w:type="spellStart"/>
      <w:r w:rsidRPr="0035363D">
        <w:rPr>
          <w:rFonts w:ascii="Arial" w:hAnsi="Arial" w:cs="Arial"/>
          <w:sz w:val="20"/>
          <w:szCs w:val="20"/>
        </w:rPr>
        <w:t>Apatinib</w:t>
      </w:r>
      <w:proofErr w:type="spellEnd"/>
      <w:r w:rsidRPr="0035363D">
        <w:rPr>
          <w:rFonts w:ascii="Arial" w:hAnsi="Arial" w:cs="Arial"/>
          <w:sz w:val="20"/>
          <w:szCs w:val="20"/>
        </w:rPr>
        <w:t xml:space="preserve"> and other </w:t>
      </w:r>
      <w:proofErr w:type="spellStart"/>
      <w:r w:rsidRPr="0035363D">
        <w:rPr>
          <w:rFonts w:ascii="Arial" w:hAnsi="Arial" w:cs="Arial"/>
          <w:sz w:val="20"/>
          <w:szCs w:val="20"/>
        </w:rPr>
        <w:t>noval</w:t>
      </w:r>
      <w:proofErr w:type="spellEnd"/>
      <w:r w:rsidRPr="0035363D">
        <w:rPr>
          <w:rFonts w:ascii="Arial" w:hAnsi="Arial" w:cs="Arial"/>
          <w:sz w:val="20"/>
          <w:szCs w:val="20"/>
        </w:rPr>
        <w:t xml:space="preserve"> agents for RR DLBCL lymphoma</w:t>
      </w:r>
    </w:p>
    <w:tbl>
      <w:tblPr>
        <w:tblStyle w:val="TableGrid"/>
        <w:tblW w:w="881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484"/>
        <w:gridCol w:w="984"/>
        <w:gridCol w:w="1587"/>
        <w:gridCol w:w="1610"/>
        <w:gridCol w:w="1631"/>
      </w:tblGrid>
      <w:tr w:rsidR="0035363D" w:rsidRPr="0035363D" w14:paraId="43BA79A9" w14:textId="77777777" w:rsidTr="00E00ECD">
        <w:trPr>
          <w:trHeight w:val="622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38A56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363D">
              <w:rPr>
                <w:rFonts w:ascii="Arial" w:hAnsi="Arial" w:cs="Arial"/>
                <w:b/>
                <w:sz w:val="20"/>
                <w:szCs w:val="20"/>
              </w:rPr>
              <w:t>Agent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ECBBF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363D">
              <w:rPr>
                <w:rFonts w:ascii="Arial" w:hAnsi="Arial" w:cs="Arial"/>
                <w:b/>
                <w:sz w:val="20"/>
                <w:szCs w:val="20"/>
              </w:rPr>
              <w:t xml:space="preserve">Study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B5BAC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363D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87D92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363D">
              <w:rPr>
                <w:rFonts w:ascii="Arial" w:hAnsi="Arial" w:cs="Arial"/>
                <w:b/>
                <w:sz w:val="20"/>
                <w:szCs w:val="20"/>
              </w:rPr>
              <w:t>ORR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62AB1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363D">
              <w:rPr>
                <w:rFonts w:ascii="Arial" w:hAnsi="Arial" w:cs="Arial"/>
                <w:b/>
                <w:sz w:val="20"/>
                <w:szCs w:val="20"/>
              </w:rPr>
              <w:t>PFS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0D4A3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363D">
              <w:rPr>
                <w:rFonts w:ascii="Arial" w:hAnsi="Arial" w:cs="Arial"/>
                <w:b/>
                <w:sz w:val="20"/>
                <w:szCs w:val="20"/>
              </w:rPr>
              <w:t>OS</w:t>
            </w:r>
          </w:p>
        </w:tc>
      </w:tr>
      <w:tr w:rsidR="0035363D" w:rsidRPr="0035363D" w14:paraId="058C8DE2" w14:textId="77777777" w:rsidTr="005C6131">
        <w:trPr>
          <w:trHeight w:val="622"/>
        </w:trPr>
        <w:tc>
          <w:tcPr>
            <w:tcW w:w="1517" w:type="dxa"/>
            <w:tcBorders>
              <w:top w:val="single" w:sz="4" w:space="0" w:color="auto"/>
              <w:bottom w:val="nil"/>
            </w:tcBorders>
          </w:tcPr>
          <w:p w14:paraId="63DA1964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363D">
              <w:rPr>
                <w:rFonts w:ascii="Arial" w:hAnsi="Arial" w:cs="Arial"/>
                <w:sz w:val="20"/>
                <w:szCs w:val="20"/>
              </w:rPr>
              <w:t>Apatinib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410CF8BB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</w:tcBorders>
          </w:tcPr>
          <w:p w14:paraId="29AEEAE3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14:paraId="3675CED9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43.8%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608D2024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 xml:space="preserve">6.9 months </w:t>
            </w:r>
          </w:p>
        </w:tc>
        <w:tc>
          <w:tcPr>
            <w:tcW w:w="1631" w:type="dxa"/>
            <w:tcBorders>
              <w:top w:val="single" w:sz="4" w:space="0" w:color="auto"/>
              <w:bottom w:val="nil"/>
            </w:tcBorders>
          </w:tcPr>
          <w:p w14:paraId="2116DF98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7.9 months</w:t>
            </w:r>
          </w:p>
        </w:tc>
      </w:tr>
      <w:tr w:rsidR="0035363D" w:rsidRPr="0035363D" w14:paraId="601B29C4" w14:textId="77777777" w:rsidTr="005C6131">
        <w:trPr>
          <w:trHeight w:val="1593"/>
        </w:trPr>
        <w:tc>
          <w:tcPr>
            <w:tcW w:w="1517" w:type="dxa"/>
            <w:tcBorders>
              <w:top w:val="nil"/>
            </w:tcBorders>
          </w:tcPr>
          <w:p w14:paraId="7C2BCB66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Nivolumab</w:t>
            </w:r>
          </w:p>
        </w:tc>
        <w:tc>
          <w:tcPr>
            <w:tcW w:w="1484" w:type="dxa"/>
            <w:tcBorders>
              <w:top w:val="nil"/>
            </w:tcBorders>
          </w:tcPr>
          <w:p w14:paraId="37270004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Ansell et al</w:t>
            </w:r>
          </w:p>
        </w:tc>
        <w:tc>
          <w:tcPr>
            <w:tcW w:w="984" w:type="dxa"/>
            <w:tcBorders>
              <w:top w:val="nil"/>
            </w:tcBorders>
          </w:tcPr>
          <w:p w14:paraId="6E386BF2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87" w:type="dxa"/>
            <w:tcBorders>
              <w:top w:val="nil"/>
            </w:tcBorders>
          </w:tcPr>
          <w:p w14:paraId="05922299" w14:textId="77777777" w:rsidR="0035363D" w:rsidRPr="0035363D" w:rsidRDefault="0035363D" w:rsidP="0035363D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10% for ASCT-ineligible group; 3% for ASCT-failed group</w:t>
            </w:r>
          </w:p>
        </w:tc>
        <w:tc>
          <w:tcPr>
            <w:tcW w:w="1610" w:type="dxa"/>
            <w:tcBorders>
              <w:top w:val="nil"/>
            </w:tcBorders>
          </w:tcPr>
          <w:p w14:paraId="5245E87A" w14:textId="77777777" w:rsidR="0035363D" w:rsidRPr="0035363D" w:rsidRDefault="0035363D" w:rsidP="0035363D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1.4 months for ASCT-ineligible group; 1.9 months for ASCT-failed group</w:t>
            </w:r>
          </w:p>
        </w:tc>
        <w:tc>
          <w:tcPr>
            <w:tcW w:w="1631" w:type="dxa"/>
            <w:tcBorders>
              <w:top w:val="nil"/>
            </w:tcBorders>
          </w:tcPr>
          <w:p w14:paraId="5EF46031" w14:textId="77777777" w:rsidR="0035363D" w:rsidRPr="0035363D" w:rsidRDefault="0035363D" w:rsidP="0035363D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5.8 months for ASCT-ineligible group; 12.2 months for ASCT-failed group</w:t>
            </w:r>
          </w:p>
        </w:tc>
      </w:tr>
      <w:tr w:rsidR="0035363D" w:rsidRPr="0035363D" w14:paraId="1651BD1A" w14:textId="77777777" w:rsidTr="005C6131">
        <w:trPr>
          <w:trHeight w:val="622"/>
        </w:trPr>
        <w:tc>
          <w:tcPr>
            <w:tcW w:w="1517" w:type="dxa"/>
          </w:tcPr>
          <w:p w14:paraId="0D1E289C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Ibrutinib</w:t>
            </w:r>
          </w:p>
        </w:tc>
        <w:tc>
          <w:tcPr>
            <w:tcW w:w="1484" w:type="dxa"/>
          </w:tcPr>
          <w:p w14:paraId="5908AB6F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Wilson et al</w:t>
            </w:r>
          </w:p>
        </w:tc>
        <w:tc>
          <w:tcPr>
            <w:tcW w:w="984" w:type="dxa"/>
          </w:tcPr>
          <w:p w14:paraId="3CA59518" w14:textId="77777777" w:rsidR="0035363D" w:rsidRPr="0035363D" w:rsidRDefault="0035363D" w:rsidP="0035363D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38(ABC subtype)</w:t>
            </w:r>
          </w:p>
        </w:tc>
        <w:tc>
          <w:tcPr>
            <w:tcW w:w="1587" w:type="dxa"/>
          </w:tcPr>
          <w:p w14:paraId="37559668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 xml:space="preserve">37% </w:t>
            </w:r>
          </w:p>
        </w:tc>
        <w:tc>
          <w:tcPr>
            <w:tcW w:w="1610" w:type="dxa"/>
          </w:tcPr>
          <w:p w14:paraId="6977E1B4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2.0 months</w:t>
            </w:r>
          </w:p>
        </w:tc>
        <w:tc>
          <w:tcPr>
            <w:tcW w:w="1631" w:type="dxa"/>
          </w:tcPr>
          <w:p w14:paraId="371AB2FF" w14:textId="77777777" w:rsidR="0035363D" w:rsidRPr="0035363D" w:rsidRDefault="0035363D" w:rsidP="0035363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10.3 months</w:t>
            </w:r>
          </w:p>
        </w:tc>
      </w:tr>
      <w:tr w:rsidR="00E00ECD" w:rsidRPr="0035363D" w14:paraId="4DE19781" w14:textId="77777777" w:rsidTr="005C6131">
        <w:trPr>
          <w:trHeight w:val="622"/>
        </w:trPr>
        <w:tc>
          <w:tcPr>
            <w:tcW w:w="1517" w:type="dxa"/>
          </w:tcPr>
          <w:p w14:paraId="58D04777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Copanlisib</w:t>
            </w:r>
            <w:proofErr w:type="spellEnd"/>
          </w:p>
        </w:tc>
        <w:tc>
          <w:tcPr>
            <w:tcW w:w="1484" w:type="dxa"/>
          </w:tcPr>
          <w:p w14:paraId="495282D6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Lenz et al</w:t>
            </w:r>
          </w:p>
        </w:tc>
        <w:tc>
          <w:tcPr>
            <w:tcW w:w="984" w:type="dxa"/>
          </w:tcPr>
          <w:p w14:paraId="7D722714" w14:textId="77777777" w:rsidR="00E00ECD" w:rsidRPr="0035363D" w:rsidRDefault="00E00ECD" w:rsidP="00E00ECD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35363D">
              <w:rPr>
                <w:rFonts w:ascii="Arial" w:hAnsi="Arial" w:cs="Arial"/>
                <w:sz w:val="20"/>
                <w:szCs w:val="20"/>
              </w:rPr>
              <w:t>(ABC subtype)</w:t>
            </w:r>
          </w:p>
        </w:tc>
        <w:tc>
          <w:tcPr>
            <w:tcW w:w="1587" w:type="dxa"/>
          </w:tcPr>
          <w:p w14:paraId="1F521437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37.5%</w:t>
            </w:r>
          </w:p>
        </w:tc>
        <w:tc>
          <w:tcPr>
            <w:tcW w:w="1610" w:type="dxa"/>
          </w:tcPr>
          <w:p w14:paraId="2ADE55D4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14:paraId="2E8F634F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00ECD" w:rsidRPr="0035363D" w14:paraId="6E525E12" w14:textId="77777777" w:rsidTr="005C6131">
        <w:trPr>
          <w:trHeight w:val="622"/>
        </w:trPr>
        <w:tc>
          <w:tcPr>
            <w:tcW w:w="1517" w:type="dxa"/>
          </w:tcPr>
          <w:p w14:paraId="627E067B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14:paraId="17CB75A0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</w:tcPr>
          <w:p w14:paraId="736C45E7" w14:textId="77777777" w:rsidR="00E00ECD" w:rsidRPr="0035363D" w:rsidRDefault="00E00ECD" w:rsidP="00E00ECD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22(GCB</w:t>
            </w:r>
            <w:r w:rsidRPr="0035363D">
              <w:rPr>
                <w:rFonts w:ascii="Arial" w:hAnsi="Arial" w:cs="Arial"/>
                <w:sz w:val="20"/>
                <w:szCs w:val="20"/>
              </w:rPr>
              <w:t xml:space="preserve"> subtype)</w:t>
            </w:r>
          </w:p>
        </w:tc>
        <w:tc>
          <w:tcPr>
            <w:tcW w:w="1587" w:type="dxa"/>
          </w:tcPr>
          <w:p w14:paraId="1BC29366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13.6%</w:t>
            </w:r>
          </w:p>
        </w:tc>
        <w:tc>
          <w:tcPr>
            <w:tcW w:w="1610" w:type="dxa"/>
          </w:tcPr>
          <w:p w14:paraId="129D79DD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14:paraId="3E58C38A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00ECD" w:rsidRPr="0035363D" w14:paraId="3B913991" w14:textId="77777777" w:rsidTr="005C6131">
        <w:trPr>
          <w:trHeight w:val="622"/>
        </w:trPr>
        <w:tc>
          <w:tcPr>
            <w:tcW w:w="1517" w:type="dxa"/>
          </w:tcPr>
          <w:p w14:paraId="68EFC9AE" w14:textId="77777777" w:rsidR="00E00ECD" w:rsidRPr="0035363D" w:rsidRDefault="00E00ECD" w:rsidP="00E00EC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1">
              <w:rPr>
                <w:rFonts w:ascii="Arial" w:hAnsi="Arial" w:cs="Arial"/>
                <w:sz w:val="20"/>
                <w:szCs w:val="20"/>
                <w:lang w:val="en-GB"/>
              </w:rPr>
              <w:t>Polatuzumab</w:t>
            </w:r>
            <w:r w:rsidR="005C6131" w:rsidRPr="005C6131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5C6131">
              <w:rPr>
                <w:rFonts w:ascii="Arial" w:hAnsi="Arial" w:cs="Arial"/>
                <w:sz w:val="20"/>
                <w:szCs w:val="20"/>
                <w:lang w:val="en-GB"/>
              </w:rPr>
              <w:t>vedotin</w:t>
            </w:r>
            <w:proofErr w:type="spellEnd"/>
          </w:p>
        </w:tc>
        <w:tc>
          <w:tcPr>
            <w:tcW w:w="1484" w:type="dxa"/>
          </w:tcPr>
          <w:p w14:paraId="5218FCD7" w14:textId="77777777" w:rsidR="00E00ECD" w:rsidRPr="0035363D" w:rsidRDefault="005C6131" w:rsidP="005C6131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1">
              <w:rPr>
                <w:rFonts w:ascii="Arial" w:hAnsi="Arial" w:cs="Arial"/>
                <w:sz w:val="20"/>
                <w:szCs w:val="20"/>
              </w:rPr>
              <w:t>Palanca</w:t>
            </w:r>
            <w:proofErr w:type="spellEnd"/>
            <w:r w:rsidRPr="005C6131">
              <w:rPr>
                <w:rFonts w:ascii="Arial" w:hAnsi="Arial" w:cs="Arial"/>
                <w:sz w:val="20"/>
                <w:szCs w:val="20"/>
              </w:rPr>
              <w:t>-Wessels</w:t>
            </w:r>
            <w:r>
              <w:rPr>
                <w:rFonts w:ascii="Arial" w:hAnsi="Arial" w:cs="Arial"/>
                <w:sz w:val="20"/>
                <w:szCs w:val="20"/>
              </w:rPr>
              <w:t xml:space="preserve"> et al</w:t>
            </w:r>
          </w:p>
        </w:tc>
        <w:tc>
          <w:tcPr>
            <w:tcW w:w="984" w:type="dxa"/>
          </w:tcPr>
          <w:p w14:paraId="23A89BC6" w14:textId="77777777" w:rsidR="00E00ECD" w:rsidRDefault="005C6131" w:rsidP="00E00ECD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87" w:type="dxa"/>
          </w:tcPr>
          <w:p w14:paraId="166CC257" w14:textId="77777777" w:rsidR="00E00ECD" w:rsidRDefault="005C6131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56%</w:t>
            </w:r>
          </w:p>
        </w:tc>
        <w:tc>
          <w:tcPr>
            <w:tcW w:w="1610" w:type="dxa"/>
          </w:tcPr>
          <w:p w14:paraId="65683B0D" w14:textId="77777777" w:rsidR="00E00ECD" w:rsidRDefault="005C6131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14:paraId="6AAE4B72" w14:textId="77777777" w:rsidR="00E00ECD" w:rsidRDefault="005C6131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00ECD" w:rsidRPr="0035363D" w14:paraId="59DE0720" w14:textId="77777777" w:rsidTr="005C6131">
        <w:trPr>
          <w:trHeight w:val="622"/>
        </w:trPr>
        <w:tc>
          <w:tcPr>
            <w:tcW w:w="1517" w:type="dxa"/>
          </w:tcPr>
          <w:p w14:paraId="4D5A51C2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363D">
              <w:rPr>
                <w:rFonts w:ascii="Arial" w:hAnsi="Arial" w:cs="Arial"/>
                <w:sz w:val="20"/>
                <w:szCs w:val="20"/>
              </w:rPr>
              <w:t>Venetoclax</w:t>
            </w:r>
            <w:proofErr w:type="spellEnd"/>
          </w:p>
        </w:tc>
        <w:tc>
          <w:tcPr>
            <w:tcW w:w="1484" w:type="dxa"/>
          </w:tcPr>
          <w:p w14:paraId="1CFF5067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363D">
              <w:rPr>
                <w:rFonts w:ascii="Arial" w:hAnsi="Arial" w:cs="Arial"/>
                <w:sz w:val="20"/>
                <w:szCs w:val="20"/>
              </w:rPr>
              <w:t>Davids</w:t>
            </w:r>
            <w:proofErr w:type="spellEnd"/>
            <w:r w:rsidRPr="0035363D">
              <w:rPr>
                <w:rFonts w:ascii="Arial" w:hAnsi="Arial" w:cs="Arial"/>
                <w:sz w:val="20"/>
                <w:szCs w:val="20"/>
              </w:rPr>
              <w:t xml:space="preserve"> et al</w:t>
            </w:r>
          </w:p>
        </w:tc>
        <w:tc>
          <w:tcPr>
            <w:tcW w:w="984" w:type="dxa"/>
          </w:tcPr>
          <w:p w14:paraId="09BC397E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87" w:type="dxa"/>
          </w:tcPr>
          <w:p w14:paraId="14F6417C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18%</w:t>
            </w:r>
          </w:p>
        </w:tc>
        <w:tc>
          <w:tcPr>
            <w:tcW w:w="1610" w:type="dxa"/>
          </w:tcPr>
          <w:p w14:paraId="463AFA0E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1.0 months</w:t>
            </w:r>
          </w:p>
        </w:tc>
        <w:tc>
          <w:tcPr>
            <w:tcW w:w="1631" w:type="dxa"/>
          </w:tcPr>
          <w:p w14:paraId="5F97B3EA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1-year OS 32%</w:t>
            </w:r>
          </w:p>
        </w:tc>
      </w:tr>
      <w:tr w:rsidR="00E00ECD" w:rsidRPr="0035363D" w14:paraId="29AAD15F" w14:textId="77777777" w:rsidTr="005C6131">
        <w:trPr>
          <w:trHeight w:val="614"/>
        </w:trPr>
        <w:tc>
          <w:tcPr>
            <w:tcW w:w="1517" w:type="dxa"/>
          </w:tcPr>
          <w:p w14:paraId="35C43EC7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363D">
              <w:rPr>
                <w:rFonts w:ascii="Arial" w:hAnsi="Arial" w:cs="Arial"/>
                <w:sz w:val="20"/>
                <w:szCs w:val="20"/>
              </w:rPr>
              <w:t>Obinotuzumab</w:t>
            </w:r>
            <w:proofErr w:type="spellEnd"/>
          </w:p>
        </w:tc>
        <w:tc>
          <w:tcPr>
            <w:tcW w:w="1484" w:type="dxa"/>
          </w:tcPr>
          <w:p w14:paraId="44A91E33" w14:textId="77777777" w:rsidR="00E00ECD" w:rsidRPr="0035363D" w:rsidRDefault="00E00ECD" w:rsidP="00E00ECD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363D">
              <w:rPr>
                <w:rFonts w:ascii="Arial" w:hAnsi="Arial" w:cs="Arial"/>
                <w:sz w:val="20"/>
                <w:szCs w:val="20"/>
              </w:rPr>
              <w:t>Morschhauser</w:t>
            </w:r>
            <w:proofErr w:type="spellEnd"/>
            <w:r w:rsidRPr="0035363D">
              <w:rPr>
                <w:rFonts w:ascii="Arial" w:hAnsi="Arial" w:cs="Arial"/>
                <w:sz w:val="20"/>
                <w:szCs w:val="20"/>
              </w:rPr>
              <w:t xml:space="preserve"> et al </w:t>
            </w:r>
          </w:p>
        </w:tc>
        <w:tc>
          <w:tcPr>
            <w:tcW w:w="984" w:type="dxa"/>
          </w:tcPr>
          <w:p w14:paraId="26F8766D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87" w:type="dxa"/>
          </w:tcPr>
          <w:p w14:paraId="24E3FCA8" w14:textId="77777777" w:rsidR="00E00ECD" w:rsidRPr="0035363D" w:rsidRDefault="00E00ECD" w:rsidP="00E00ECD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32% in the 1,600/800-mg group and 24% in the 400/400-mg group</w:t>
            </w:r>
          </w:p>
        </w:tc>
        <w:tc>
          <w:tcPr>
            <w:tcW w:w="1610" w:type="dxa"/>
          </w:tcPr>
          <w:p w14:paraId="59607054" w14:textId="77777777" w:rsidR="00E00ECD" w:rsidRPr="0035363D" w:rsidRDefault="00E00ECD" w:rsidP="00E00ECD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14:paraId="63C2224D" w14:textId="77777777" w:rsidR="00E00ECD" w:rsidRPr="0035363D" w:rsidRDefault="00E00ECD" w:rsidP="00E00ECD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00ECD" w:rsidRPr="0035363D" w14:paraId="34803C8D" w14:textId="77777777" w:rsidTr="005C6131">
        <w:trPr>
          <w:trHeight w:val="622"/>
        </w:trPr>
        <w:tc>
          <w:tcPr>
            <w:tcW w:w="1517" w:type="dxa"/>
          </w:tcPr>
          <w:p w14:paraId="192EE47C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Lenalidomide</w:t>
            </w:r>
          </w:p>
        </w:tc>
        <w:tc>
          <w:tcPr>
            <w:tcW w:w="1484" w:type="dxa"/>
          </w:tcPr>
          <w:p w14:paraId="37001AA6" w14:textId="77777777" w:rsidR="00E00ECD" w:rsidRPr="0035363D" w:rsidRDefault="00E00ECD" w:rsidP="00E00ECD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363D">
              <w:rPr>
                <w:rFonts w:ascii="Arial" w:hAnsi="Arial" w:cs="Arial"/>
                <w:sz w:val="20"/>
                <w:szCs w:val="20"/>
              </w:rPr>
              <w:t>Czuczman</w:t>
            </w:r>
            <w:proofErr w:type="spellEnd"/>
            <w:r w:rsidRPr="0035363D">
              <w:rPr>
                <w:rFonts w:ascii="Arial" w:hAnsi="Arial" w:cs="Arial"/>
                <w:sz w:val="20"/>
                <w:szCs w:val="20"/>
              </w:rPr>
              <w:t xml:space="preserve"> et al</w:t>
            </w:r>
          </w:p>
        </w:tc>
        <w:tc>
          <w:tcPr>
            <w:tcW w:w="984" w:type="dxa"/>
          </w:tcPr>
          <w:p w14:paraId="1A0B3596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87" w:type="dxa"/>
          </w:tcPr>
          <w:p w14:paraId="3B1388D2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27.5%</w:t>
            </w:r>
          </w:p>
        </w:tc>
        <w:tc>
          <w:tcPr>
            <w:tcW w:w="1610" w:type="dxa"/>
          </w:tcPr>
          <w:p w14:paraId="7774A525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3.4 months</w:t>
            </w:r>
          </w:p>
        </w:tc>
        <w:tc>
          <w:tcPr>
            <w:tcW w:w="1631" w:type="dxa"/>
          </w:tcPr>
          <w:p w14:paraId="50F079DF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7.8 months</w:t>
            </w:r>
          </w:p>
        </w:tc>
      </w:tr>
      <w:tr w:rsidR="00E00ECD" w:rsidRPr="0035363D" w14:paraId="1F838399" w14:textId="77777777" w:rsidTr="005C6131">
        <w:trPr>
          <w:trHeight w:val="622"/>
        </w:trPr>
        <w:tc>
          <w:tcPr>
            <w:tcW w:w="1517" w:type="dxa"/>
          </w:tcPr>
          <w:p w14:paraId="369FAD36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CAR-T</w:t>
            </w:r>
          </w:p>
        </w:tc>
        <w:tc>
          <w:tcPr>
            <w:tcW w:w="1484" w:type="dxa"/>
          </w:tcPr>
          <w:p w14:paraId="26C4CF1B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363D">
              <w:rPr>
                <w:rFonts w:ascii="Arial" w:hAnsi="Arial" w:cs="Arial"/>
                <w:sz w:val="20"/>
                <w:szCs w:val="20"/>
              </w:rPr>
              <w:t>Neelapu</w:t>
            </w:r>
            <w:proofErr w:type="spellEnd"/>
            <w:r w:rsidRPr="0035363D">
              <w:rPr>
                <w:rFonts w:ascii="Arial" w:hAnsi="Arial" w:cs="Arial"/>
                <w:sz w:val="20"/>
                <w:szCs w:val="20"/>
              </w:rPr>
              <w:t xml:space="preserve"> et al</w:t>
            </w:r>
          </w:p>
        </w:tc>
        <w:tc>
          <w:tcPr>
            <w:tcW w:w="984" w:type="dxa"/>
          </w:tcPr>
          <w:p w14:paraId="6749F428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587" w:type="dxa"/>
          </w:tcPr>
          <w:p w14:paraId="1B2888F6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42.0%</w:t>
            </w:r>
          </w:p>
        </w:tc>
        <w:tc>
          <w:tcPr>
            <w:tcW w:w="1610" w:type="dxa"/>
          </w:tcPr>
          <w:p w14:paraId="7D1B0474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>5.8 months</w:t>
            </w:r>
          </w:p>
        </w:tc>
        <w:tc>
          <w:tcPr>
            <w:tcW w:w="1631" w:type="dxa"/>
          </w:tcPr>
          <w:p w14:paraId="1086D419" w14:textId="77777777" w:rsidR="00E00ECD" w:rsidRPr="0035363D" w:rsidRDefault="00E00ECD" w:rsidP="00E00ECD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5363D">
              <w:rPr>
                <w:rFonts w:ascii="Arial" w:hAnsi="Arial" w:cs="Arial"/>
                <w:sz w:val="20"/>
                <w:szCs w:val="20"/>
              </w:rPr>
              <w:t xml:space="preserve">Not reached </w:t>
            </w:r>
          </w:p>
        </w:tc>
      </w:tr>
    </w:tbl>
    <w:p w14:paraId="135C471F" w14:textId="77777777" w:rsidR="0035363D" w:rsidRPr="0035363D" w:rsidRDefault="0035363D"/>
    <w:sectPr w:rsidR="0035363D" w:rsidRPr="00353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36716" w14:textId="77777777" w:rsidR="00DE523D" w:rsidRDefault="00DE523D" w:rsidP="00FA1EB7">
      <w:r>
        <w:separator/>
      </w:r>
    </w:p>
  </w:endnote>
  <w:endnote w:type="continuationSeparator" w:id="0">
    <w:p w14:paraId="439C2D2E" w14:textId="77777777" w:rsidR="00DE523D" w:rsidRDefault="00DE523D" w:rsidP="00FA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12F20" w14:textId="77777777" w:rsidR="00DE523D" w:rsidRDefault="00DE523D" w:rsidP="00FA1EB7">
      <w:r>
        <w:separator/>
      </w:r>
    </w:p>
  </w:footnote>
  <w:footnote w:type="continuationSeparator" w:id="0">
    <w:p w14:paraId="420E04A6" w14:textId="77777777" w:rsidR="00DE523D" w:rsidRDefault="00DE523D" w:rsidP="00FA1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3D"/>
    <w:rsid w:val="001464F7"/>
    <w:rsid w:val="0035363D"/>
    <w:rsid w:val="004C07D0"/>
    <w:rsid w:val="005C6131"/>
    <w:rsid w:val="00733C3A"/>
    <w:rsid w:val="00915A2A"/>
    <w:rsid w:val="00DE523D"/>
    <w:rsid w:val="00E00ECD"/>
    <w:rsid w:val="00FA1EB7"/>
    <w:rsid w:val="00FB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DC334A"/>
  <w15:chartTrackingRefBased/>
  <w15:docId w15:val="{9D02FF71-1F9D-4AC6-B823-D601A854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3D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33C3A"/>
    <w:pPr>
      <w:keepNext/>
      <w:keepLines/>
      <w:widowControl/>
      <w:spacing w:before="340" w:after="330" w:line="576" w:lineRule="auto"/>
      <w:outlineLvl w:val="0"/>
    </w:pPr>
    <w:rPr>
      <w:rFonts w:ascii="Times New Roman" w:eastAsia="SimHei" w:hAnsi="Times New Roman" w:cs="Times New Roman"/>
      <w:b/>
      <w:bCs/>
      <w:kern w:val="4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3C3A"/>
    <w:pPr>
      <w:keepNext/>
      <w:keepLines/>
      <w:widowControl/>
      <w:spacing w:before="260" w:after="260" w:line="413" w:lineRule="auto"/>
      <w:outlineLvl w:val="1"/>
    </w:pPr>
    <w:rPr>
      <w:rFonts w:ascii="Arial" w:eastAsia="SimHei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C3A"/>
    <w:pPr>
      <w:keepNext/>
      <w:keepLines/>
      <w:spacing w:before="260" w:after="260" w:line="416" w:lineRule="auto"/>
      <w:outlineLvl w:val="2"/>
    </w:pPr>
    <w:rPr>
      <w:rFonts w:ascii="Times New Roman" w:eastAsia="SimSun" w:hAnsi="Times New Roman" w:cs="Times New Roman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3C3A"/>
    <w:pPr>
      <w:keepNext/>
      <w:keepLines/>
      <w:spacing w:before="280" w:after="290" w:line="376" w:lineRule="auto"/>
      <w:outlineLvl w:val="3"/>
    </w:pPr>
    <w:rPr>
      <w:rFonts w:ascii="Arial" w:eastAsia="SimHei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33C3A"/>
    <w:rPr>
      <w:rFonts w:ascii="Times New Roman" w:eastAsia="SimHei" w:hAnsi="Times New Roman" w:cs="Times New Roman"/>
      <w:b/>
      <w:bCs/>
      <w:kern w:val="4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733C3A"/>
    <w:rPr>
      <w:rFonts w:ascii="Arial" w:eastAsia="SimHei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733C3A"/>
    <w:rPr>
      <w:rFonts w:ascii="Times New Roman" w:eastAsia="SimSu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rsid w:val="00733C3A"/>
    <w:rPr>
      <w:rFonts w:ascii="Arial" w:eastAsia="SimHei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733C3A"/>
    <w:pPr>
      <w:ind w:firstLineChars="200" w:firstLine="420"/>
    </w:pPr>
    <w:rPr>
      <w:rFonts w:ascii="Times New Roman" w:eastAsia="SimSun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35363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link w:val="NormalWebChar"/>
    <w:uiPriority w:val="99"/>
    <w:unhideWhenUsed/>
    <w:rsid w:val="0035363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53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rsid w:val="0035363D"/>
    <w:rPr>
      <w:rFonts w:ascii="SimSun" w:eastAsia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1E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EB7"/>
  </w:style>
  <w:style w:type="paragraph" w:styleId="Footer">
    <w:name w:val="footer"/>
    <w:basedOn w:val="Normal"/>
    <w:link w:val="FooterChar"/>
    <w:uiPriority w:val="99"/>
    <w:unhideWhenUsed/>
    <w:rsid w:val="00FA1E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E4EA2A-1056-40B1-AE28-A856CBB74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97D9D-4CBE-498C-B113-FCB467B87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53657-B6E8-41E3-91FC-B1E23EE29A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3720</Characters>
  <Application>Microsoft Office Word</Application>
  <DocSecurity>0</DocSecurity>
  <Lines>31</Lines>
  <Paragraphs>8</Paragraphs>
  <ScaleCrop>false</ScaleCrop>
  <Company>LG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Victoria</dc:creator>
  <cp:keywords/>
  <dc:description/>
  <cp:lastModifiedBy>Lucas Pratt</cp:lastModifiedBy>
  <cp:revision>2</cp:revision>
  <dcterms:created xsi:type="dcterms:W3CDTF">2019-12-27T02:03:00Z</dcterms:created>
  <dcterms:modified xsi:type="dcterms:W3CDTF">2019-12-27T02:03:00Z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