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Supplementary Material</w:t>
      </w:r>
    </w:p>
    <w:bookmarkEnd w:id="2"/>
    <w:p>
      <w:pPr>
        <w:spacing w:line="220" w:lineRule="atLeast"/>
        <w:rPr>
          <w:rFonts w:hint="eastAsia" w:ascii="Times New Roman" w:hAnsi="Times New Roman" w:eastAsia="微软雅黑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hint="eastAsia" w:ascii="Times New Roman" w:hAnsi="Times New Roman" w:cs="Times New Roman"/>
          <w:sz w:val="24"/>
          <w:szCs w:val="24"/>
        </w:rPr>
        <w:t>ig</w:t>
      </w:r>
      <w:r>
        <w:rPr>
          <w:rFonts w:ascii="Times New Roman" w:hAnsi="Times New Roman" w:cs="Times New Roman"/>
          <w:sz w:val="24"/>
          <w:szCs w:val="24"/>
        </w:rPr>
        <w:t>. S1</w:t>
      </w:r>
      <w:r>
        <w:rPr>
          <w:rFonts w:ascii="Times New Roman" w:hAnsi="Times New Roman" w:cs="Times New Roman"/>
          <w:bCs/>
        </w:rPr>
        <w:t xml:space="preserve"> KEGG pathway</w:t>
      </w:r>
    </w:p>
    <w:p>
      <w:pPr>
        <w:spacing w:line="220" w:lineRule="atLeast"/>
        <w:rPr>
          <w:rFonts w:hint="eastAsia" w:ascii="Times New Roman" w:hAnsi="Times New Roman" w:eastAsia="微软雅黑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eastAsia="zh-CN"/>
        </w:rPr>
        <w:drawing>
          <wp:inline distT="0" distB="0" distL="114300" distR="114300">
            <wp:extent cx="5269865" cy="6819900"/>
            <wp:effectExtent l="0" t="0" r="635" b="0"/>
            <wp:docPr id="1" name="图片 1" descr="fig.S1A ko0202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S1A ko0202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hint="eastAsia" w:ascii="Times New Roman" w:hAnsi="Times New Roman" w:eastAsia="微软雅黑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eastAsia="zh-CN"/>
        </w:rPr>
        <w:drawing>
          <wp:inline distT="0" distB="0" distL="114300" distR="114300">
            <wp:extent cx="5269865" cy="6819900"/>
            <wp:effectExtent l="0" t="0" r="635" b="0"/>
            <wp:docPr id="2" name="图片 2" descr="fig.S1B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S1B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ascii="Times New Roman" w:hAnsi="Times New Roman" w:eastAsia="微软雅黑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微软雅黑" w:cs="Times New Roman"/>
          <w:sz w:val="24"/>
          <w:szCs w:val="24"/>
          <w:lang w:eastAsia="zh-CN"/>
        </w:rPr>
        <w:drawing>
          <wp:inline distT="0" distB="0" distL="114300" distR="114300">
            <wp:extent cx="5272405" cy="6546215"/>
            <wp:effectExtent l="0" t="0" r="10795" b="6985"/>
            <wp:docPr id="3" name="图片 3" descr="fig.S1C ko0150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.S1C ko01501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4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Supplementary Table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S1-S5</w:t>
      </w:r>
    </w:p>
    <w:p>
      <w:pPr>
        <w:spacing w:line="220" w:lineRule="atLeast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Table S1</w:t>
      </w:r>
      <w:bookmarkEnd w:id="0"/>
      <w:r>
        <w:rPr>
          <w:rFonts w:ascii="Times New Roman" w:hAnsi="Times New Roman" w:cs="Times New Roman"/>
          <w:sz w:val="24"/>
          <w:szCs w:val="24"/>
        </w:rPr>
        <w:t>. Specific primers o</w:t>
      </w:r>
      <w:r>
        <w:rPr>
          <w:rFonts w:ascii="Times New Roman" w:hAnsi="Times New Roman" w:cs="Times New Roman"/>
          <w:color w:val="000000"/>
          <w:sz w:val="24"/>
          <w:szCs w:val="24"/>
        </w:rPr>
        <w:t>f the genes</w:t>
      </w:r>
    </w:p>
    <w:tbl>
      <w:tblPr>
        <w:tblStyle w:val="5"/>
        <w:tblW w:w="881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80"/>
        <w:gridCol w:w="36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primer F</w:t>
            </w:r>
          </w:p>
        </w:tc>
        <w:tc>
          <w:tcPr>
            <w:tcW w:w="366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primer 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tcBorders>
              <w:top w:val="single" w:color="auto" w:sz="4" w:space="0"/>
            </w:tcBorders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16S rRNA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TAACTTCGTGCCAGCAGC</w:t>
            </w:r>
          </w:p>
        </w:tc>
        <w:tc>
          <w:tcPr>
            <w:tcW w:w="3666" w:type="dxa"/>
            <w:tcBorders>
              <w:top w:val="single" w:color="auto" w:sz="4" w:space="0"/>
            </w:tcBorders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GGAAATTCCACCACCCTC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PA0156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GCGCTTTTCATTCCAAAG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ACACGGACGTGTTCCTCG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PA1435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CTGACCATCGACAACCAG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TAGACGAAATTGCCCTCC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mexC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AGGTGATGGTGGTGGGCG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CAGGTGACTGGGCTTGCG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PA2018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GGTGGAGGGCGTGGGCAA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GGTGAGGCGGGCGTTGTG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mexB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GTCAAGCAATTGCCGAAA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CAGCGACAGCGCATACAG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PA4396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GGCGGAGACCGACGATTT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CGACCAGGATGCTGAGAT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parR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CAGGCAGGGGAAATACTT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AGCGGGTTGAACAGGTAG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phoB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AGACAATCCTCATCGTTG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CTGCTGGGTATTTTCCGC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PA3573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CATCGATTTCTACCTGCC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AAGATACTCACCCCCACC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8" w:type="dxa"/>
            <w:vAlign w:val="bottom"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motB</w:t>
            </w:r>
          </w:p>
        </w:tc>
        <w:tc>
          <w:tcPr>
            <w:tcW w:w="3780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TGGCGTTCTTCCTGGTGC</w:t>
            </w:r>
          </w:p>
        </w:tc>
        <w:tc>
          <w:tcPr>
            <w:tcW w:w="3666" w:type="dxa"/>
            <w:vAlign w:val="bottom"/>
          </w:tcPr>
          <w:p>
            <w:pPr>
              <w:spacing w:after="0" w:line="240" w:lineRule="atLeas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CTGCGGATTGAGGGTCTT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hint="eastAsia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spacing w:line="500" w:lineRule="exac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Table S2. Statistical reads of Clean Data mapped to reference genome </w:t>
      </w:r>
    </w:p>
    <w:tbl>
      <w:tblPr>
        <w:tblStyle w:val="5"/>
        <w:tblW w:w="10349" w:type="dxa"/>
        <w:tblInd w:w="-933" w:type="dxa"/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1560"/>
        <w:gridCol w:w="1418"/>
        <w:gridCol w:w="2126"/>
        <w:gridCol w:w="1701"/>
        <w:gridCol w:w="1701"/>
        <w:gridCol w:w="1843"/>
      </w:tblGrid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#SampleID</w:t>
            </w: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Total reads</w:t>
            </w:r>
          </w:p>
        </w:tc>
        <w:tc>
          <w:tcPr>
            <w:tcW w:w="212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Mapped reads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Unmapped reads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Multiple mapped reads</w:t>
            </w:r>
          </w:p>
        </w:tc>
        <w:tc>
          <w:tcPr>
            <w:tcW w:w="184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Unique mapped reads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777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PA1.2620 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25588060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23568822 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(92.11%)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2019238 (7.89%)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514967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(2.01%)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23053855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(90.10%)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736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PA1.2620 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28884424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26610272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(92.13%)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2274152 (7.87%)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1596802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(5.53%)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25013470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(86.60%)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PA1.2620 (3)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24775104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22686017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(91.57%)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2089087 (8.43%)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891827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(3.60%)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21794190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(87.97%)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 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21049038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18448745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(87.65%)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2600293 (12.35%)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451663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(2.15%)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17997082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(85.50%)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798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PA-99 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21204412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19832210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(93.53%)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1372202 (6.47%)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870487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(4.11%)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18961723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(89.42%)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712" w:hRule="atLeast"/>
        </w:trPr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PA-99 (3)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22675272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19875769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(87.65%)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2799503 (12.35%)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1060369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(4.68%)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18815400</w:t>
            </w:r>
          </w:p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(82.98%)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spacing w:line="500" w:lineRule="exact"/>
        <w:ind w:firstLine="1200" w:firstLineChars="5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S3. Correlation statistics of biological duplicate</w:t>
      </w:r>
    </w:p>
    <w:tbl>
      <w:tblPr>
        <w:tblStyle w:val="5"/>
        <w:tblW w:w="6521" w:type="dxa"/>
        <w:tblInd w:w="898" w:type="dxa"/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2202"/>
        <w:gridCol w:w="2202"/>
        <w:gridCol w:w="2117"/>
      </w:tblGrid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220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sample1</w:t>
            </w:r>
          </w:p>
        </w:tc>
        <w:tc>
          <w:tcPr>
            <w:tcW w:w="220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sample2</w:t>
            </w:r>
          </w:p>
        </w:tc>
        <w:tc>
          <w:tcPr>
            <w:tcW w:w="211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PA1.2620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PA1.2620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0.4689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PA1.2620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PA1.2620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0.4735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PA1.2620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PA1.2620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0.9931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0.9982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0.9977</w:t>
            </w:r>
          </w:p>
        </w:tc>
      </w:tr>
      <w:tr>
        <w:tblPrEx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00" w:hRule="atLeast"/>
        </w:trPr>
        <w:tc>
          <w:tcPr>
            <w:tcW w:w="220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utoSpaceDE w:val="0"/>
              <w:autoSpaceDN w:val="0"/>
              <w:spacing w:after="0"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0.997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1" w:name="_Hlk2449896"/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S4. </w:t>
      </w:r>
      <w:r>
        <w:rPr>
          <w:rFonts w:ascii="Times New Roman" w:hAnsi="Times New Roman" w:cs="Times New Roman"/>
          <w:color w:val="000000"/>
          <w:sz w:val="24"/>
          <w:szCs w:val="24"/>
        </w:rPr>
        <w:t>GO enrichment categorization of tachyplesin-resisitant responsive DEGs uinigenes vs. all uinigenes</w:t>
      </w:r>
    </w:p>
    <w:bookmarkEnd w:id="1"/>
    <w:tbl>
      <w:tblPr>
        <w:tblStyle w:val="5"/>
        <w:tblW w:w="831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95"/>
        <w:gridCol w:w="166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#GO_classify1</w:t>
            </w:r>
          </w:p>
        </w:tc>
        <w:tc>
          <w:tcPr>
            <w:tcW w:w="3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GO_classify2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All Unigene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DEG Unigene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#Total_gene</w:t>
            </w:r>
          </w:p>
        </w:tc>
        <w:tc>
          <w:tcPr>
            <w:tcW w:w="329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4761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extracellular region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nucleoid</w:t>
            </w: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membrane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virion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membrane-enclosed lumen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macromolecular complex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organelle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extracellular region part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organelle part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virion part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membrane part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CCs</w:t>
            </w:r>
          </w:p>
        </w:tc>
        <w:tc>
          <w:tcPr>
            <w:tcW w:w="3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 part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protein binding transcription factor activity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nucleic acid binding transcription factor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catalytic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receptor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structural molecule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transporter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binding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electron carrier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antioxidant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channel regulator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metallochaperone activity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enzyme regulator activity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MFs</w:t>
            </w:r>
          </w:p>
        </w:tc>
        <w:tc>
          <w:tcPr>
            <w:tcW w:w="3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molecular transducer activity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reproduction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 killing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immune system process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metabolic process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3339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cellular process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biological adhesion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signaling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multicellular organismal process</w:t>
            </w: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developmental process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growth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locomotion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single-organism process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response to stimulus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localization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multi-organism process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biological regulation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BPs</w:t>
            </w:r>
          </w:p>
        </w:tc>
        <w:tc>
          <w:tcPr>
            <w:tcW w:w="3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cellular component organization or biogenesis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30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22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S5.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COG classification</w:t>
      </w:r>
    </w:p>
    <w:tbl>
      <w:tblPr>
        <w:tblStyle w:val="5"/>
        <w:tblW w:w="8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13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#ID</w:t>
            </w:r>
          </w:p>
        </w:tc>
        <w:tc>
          <w:tcPr>
            <w:tcW w:w="6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Class_Name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Numbers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6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Translation, ribosomal structure and biogenesis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RNA processing and modification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Transcription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Replication, recombination and repair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Chromatin structure and dynamics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 cycle control, cell division, chromosome partitioning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Nuclear structure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Defense mechanisms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Signal transduction mechanisms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 wall/membrane/envelope biogenesis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Cell motility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Cytoskeleton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Extracellular structures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Intracellular trafficking, secretion, and vesicular transport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Posttranslational modification, protein turnover, chaperones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Energy production and conversion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Carbohydrate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Amino acid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Nucleotide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Coenzyme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Lipid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Inorganic ion transport and metabolism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Q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Secondary metabolites biosynthesis, transport and catabolism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General function prediction only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Function unknown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  <w:t>101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26A3"/>
    <w:rsid w:val="000757EB"/>
    <w:rsid w:val="00091EAF"/>
    <w:rsid w:val="00097DAD"/>
    <w:rsid w:val="000D0B6C"/>
    <w:rsid w:val="000E428C"/>
    <w:rsid w:val="000F251D"/>
    <w:rsid w:val="000F3DE8"/>
    <w:rsid w:val="00124CE7"/>
    <w:rsid w:val="00147FCF"/>
    <w:rsid w:val="001B26E5"/>
    <w:rsid w:val="001C0116"/>
    <w:rsid w:val="001D44B9"/>
    <w:rsid w:val="001F36F5"/>
    <w:rsid w:val="0021023E"/>
    <w:rsid w:val="0027521A"/>
    <w:rsid w:val="0028550D"/>
    <w:rsid w:val="002876DF"/>
    <w:rsid w:val="00293730"/>
    <w:rsid w:val="002C02DE"/>
    <w:rsid w:val="002E1EB9"/>
    <w:rsid w:val="002F71FD"/>
    <w:rsid w:val="00323B43"/>
    <w:rsid w:val="00340E1F"/>
    <w:rsid w:val="00350EEE"/>
    <w:rsid w:val="003537B9"/>
    <w:rsid w:val="00361A10"/>
    <w:rsid w:val="003709A3"/>
    <w:rsid w:val="003B4553"/>
    <w:rsid w:val="003B64E6"/>
    <w:rsid w:val="003D37D8"/>
    <w:rsid w:val="003F1A45"/>
    <w:rsid w:val="0041788E"/>
    <w:rsid w:val="00426133"/>
    <w:rsid w:val="004330A6"/>
    <w:rsid w:val="004358AB"/>
    <w:rsid w:val="00472B54"/>
    <w:rsid w:val="004A1003"/>
    <w:rsid w:val="004A3913"/>
    <w:rsid w:val="00531137"/>
    <w:rsid w:val="00534783"/>
    <w:rsid w:val="005D018C"/>
    <w:rsid w:val="00600044"/>
    <w:rsid w:val="00604905"/>
    <w:rsid w:val="00625958"/>
    <w:rsid w:val="0067132F"/>
    <w:rsid w:val="00685CD9"/>
    <w:rsid w:val="00687CBA"/>
    <w:rsid w:val="006A4552"/>
    <w:rsid w:val="006F66A0"/>
    <w:rsid w:val="007029AF"/>
    <w:rsid w:val="00707270"/>
    <w:rsid w:val="007234B8"/>
    <w:rsid w:val="007360DC"/>
    <w:rsid w:val="007516BE"/>
    <w:rsid w:val="0078285B"/>
    <w:rsid w:val="007C4DFF"/>
    <w:rsid w:val="00812058"/>
    <w:rsid w:val="00867AB9"/>
    <w:rsid w:val="00885DCB"/>
    <w:rsid w:val="008B7726"/>
    <w:rsid w:val="008D34B7"/>
    <w:rsid w:val="008F14C5"/>
    <w:rsid w:val="00905B13"/>
    <w:rsid w:val="00917283"/>
    <w:rsid w:val="00952808"/>
    <w:rsid w:val="00957F1F"/>
    <w:rsid w:val="00985C69"/>
    <w:rsid w:val="00A62015"/>
    <w:rsid w:val="00A73BC5"/>
    <w:rsid w:val="00A830CD"/>
    <w:rsid w:val="00A90941"/>
    <w:rsid w:val="00A91E04"/>
    <w:rsid w:val="00AA3E8F"/>
    <w:rsid w:val="00AD16F3"/>
    <w:rsid w:val="00AF7EAF"/>
    <w:rsid w:val="00B009D5"/>
    <w:rsid w:val="00B01A7C"/>
    <w:rsid w:val="00B0651D"/>
    <w:rsid w:val="00B468C8"/>
    <w:rsid w:val="00B477E8"/>
    <w:rsid w:val="00B57B4F"/>
    <w:rsid w:val="00B768A1"/>
    <w:rsid w:val="00B84F30"/>
    <w:rsid w:val="00BA0554"/>
    <w:rsid w:val="00BA4376"/>
    <w:rsid w:val="00BB22C4"/>
    <w:rsid w:val="00BB6E2D"/>
    <w:rsid w:val="00BC6732"/>
    <w:rsid w:val="00BC7702"/>
    <w:rsid w:val="00BE556F"/>
    <w:rsid w:val="00BE589A"/>
    <w:rsid w:val="00BF5677"/>
    <w:rsid w:val="00C0638B"/>
    <w:rsid w:val="00C15165"/>
    <w:rsid w:val="00C52826"/>
    <w:rsid w:val="00C750EA"/>
    <w:rsid w:val="00CA4836"/>
    <w:rsid w:val="00CB7FE7"/>
    <w:rsid w:val="00CD6506"/>
    <w:rsid w:val="00CE5862"/>
    <w:rsid w:val="00D2194A"/>
    <w:rsid w:val="00D31D50"/>
    <w:rsid w:val="00D45201"/>
    <w:rsid w:val="00D4765D"/>
    <w:rsid w:val="00D60307"/>
    <w:rsid w:val="00D633B5"/>
    <w:rsid w:val="00D71683"/>
    <w:rsid w:val="00D97623"/>
    <w:rsid w:val="00DC3109"/>
    <w:rsid w:val="00DE0457"/>
    <w:rsid w:val="00DF1411"/>
    <w:rsid w:val="00E22368"/>
    <w:rsid w:val="00E36A0B"/>
    <w:rsid w:val="00E45E69"/>
    <w:rsid w:val="00E5752A"/>
    <w:rsid w:val="00E63AAF"/>
    <w:rsid w:val="00E75BCB"/>
    <w:rsid w:val="00E81BDB"/>
    <w:rsid w:val="00EA1A18"/>
    <w:rsid w:val="00EB06FF"/>
    <w:rsid w:val="00EC7A49"/>
    <w:rsid w:val="00EF27C6"/>
    <w:rsid w:val="00F42CB0"/>
    <w:rsid w:val="00F45047"/>
    <w:rsid w:val="00F47068"/>
    <w:rsid w:val="00F57024"/>
    <w:rsid w:val="00F72A2C"/>
    <w:rsid w:val="00F85693"/>
    <w:rsid w:val="00F90029"/>
    <w:rsid w:val="00FC2AFE"/>
    <w:rsid w:val="00FC42DC"/>
    <w:rsid w:val="00FC6EB9"/>
    <w:rsid w:val="00FD359D"/>
    <w:rsid w:val="00FF5FDC"/>
    <w:rsid w:val="00FF7AEF"/>
    <w:rsid w:val="20264A0A"/>
    <w:rsid w:val="4D000798"/>
    <w:rsid w:val="690B67C1"/>
    <w:rsid w:val="6E54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50D812-7BF1-42D8-B640-9B20BC170C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640</Words>
  <Characters>3654</Characters>
  <Lines>30</Lines>
  <Paragraphs>8</Paragraphs>
  <TotalTime>8</TotalTime>
  <ScaleCrop>false</ScaleCrop>
  <LinksUpToDate>false</LinksUpToDate>
  <CharactersWithSpaces>4286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hongjun1211</cp:lastModifiedBy>
  <dcterms:modified xsi:type="dcterms:W3CDTF">2019-12-11T00:59:02Z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