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0A1" w:rsidRDefault="004C40A1" w:rsidP="00130E72">
      <w:pPr>
        <w:ind w:left="-576" w:right="-720"/>
        <w:rPr>
          <w:b/>
        </w:rPr>
      </w:pPr>
      <w:r>
        <w:rPr>
          <w:b/>
        </w:rPr>
        <w:t xml:space="preserve">Supplemental Table 1: Clinic-Level Intra-class Correlations (ICC) of Medication Self-Management Outcomes  </w:t>
      </w:r>
    </w:p>
    <w:tbl>
      <w:tblPr>
        <w:tblStyle w:val="TableGrid"/>
        <w:tblW w:w="7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0"/>
        <w:gridCol w:w="5000"/>
        <w:gridCol w:w="2160"/>
      </w:tblGrid>
      <w:tr w:rsidR="004C40A1" w:rsidRPr="00194F05" w:rsidTr="00570E89">
        <w:tc>
          <w:tcPr>
            <w:tcW w:w="5670" w:type="dxa"/>
            <w:gridSpan w:val="2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40A1">
              <w:rPr>
                <w:rFonts w:ascii="Arial" w:hAnsi="Arial" w:cs="Arial"/>
                <w:b/>
                <w:sz w:val="20"/>
                <w:szCs w:val="20"/>
              </w:rPr>
              <w:t>Med</w:t>
            </w:r>
            <w:r>
              <w:rPr>
                <w:rFonts w:ascii="Arial" w:hAnsi="Arial" w:cs="Arial"/>
                <w:b/>
                <w:sz w:val="20"/>
                <w:szCs w:val="20"/>
              </w:rPr>
              <w:t>ication Self-Management Outcome</w:t>
            </w:r>
          </w:p>
        </w:tc>
        <w:tc>
          <w:tcPr>
            <w:tcW w:w="2160" w:type="dxa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ICC</w:t>
            </w:r>
          </w:p>
        </w:tc>
      </w:tr>
      <w:tr w:rsidR="004C40A1" w:rsidRPr="00194F05" w:rsidTr="00570E89">
        <w:tc>
          <w:tcPr>
            <w:tcW w:w="5670" w:type="dxa"/>
            <w:gridSpan w:val="2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2F1F">
              <w:rPr>
                <w:rFonts w:ascii="Arial" w:hAnsi="Arial" w:cs="Arial"/>
                <w:b/>
                <w:sz w:val="20"/>
                <w:szCs w:val="20"/>
              </w:rPr>
              <w:t>Medications reconciled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40A1" w:rsidRPr="00194F05" w:rsidTr="00570E89">
        <w:tc>
          <w:tcPr>
            <w:tcW w:w="67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0.046</w:t>
            </w:r>
          </w:p>
        </w:tc>
      </w:tr>
      <w:tr w:rsidR="004C40A1" w:rsidRPr="00194F05" w:rsidTr="00570E89">
        <w:trPr>
          <w:trHeight w:val="54"/>
        </w:trPr>
        <w:tc>
          <w:tcPr>
            <w:tcW w:w="67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All chronic condition medications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0.123</w:t>
            </w:r>
          </w:p>
        </w:tc>
      </w:tr>
      <w:tr w:rsidR="004C40A1" w:rsidRPr="00194F05" w:rsidTr="00570E89">
        <w:trPr>
          <w:trHeight w:val="350"/>
        </w:trPr>
        <w:tc>
          <w:tcPr>
            <w:tcW w:w="67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All medications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0.161</w:t>
            </w:r>
          </w:p>
        </w:tc>
      </w:tr>
      <w:tr w:rsidR="004C40A1" w:rsidRPr="00194F05" w:rsidTr="00570E89">
        <w:tc>
          <w:tcPr>
            <w:tcW w:w="5670" w:type="dxa"/>
            <w:gridSpan w:val="2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2F1F">
              <w:rPr>
                <w:rFonts w:ascii="Arial" w:hAnsi="Arial" w:cs="Arial"/>
                <w:b/>
                <w:sz w:val="20"/>
                <w:szCs w:val="20"/>
              </w:rPr>
              <w:t>Knowledge of medication indication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0A1" w:rsidRPr="00194F05" w:rsidTr="00570E89">
        <w:tc>
          <w:tcPr>
            <w:tcW w:w="67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0.043</w:t>
            </w:r>
          </w:p>
        </w:tc>
      </w:tr>
      <w:tr w:rsidR="004C40A1" w:rsidRPr="00194F05" w:rsidTr="00570E89">
        <w:tc>
          <w:tcPr>
            <w:tcW w:w="67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All chronic condition medications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0.053</w:t>
            </w:r>
          </w:p>
        </w:tc>
      </w:tr>
      <w:tr w:rsidR="004C40A1" w:rsidRPr="00194F05" w:rsidTr="00570E89">
        <w:tc>
          <w:tcPr>
            <w:tcW w:w="67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All medications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</w:tr>
      <w:tr w:rsidR="004C40A1" w:rsidRPr="00194F05" w:rsidTr="00570E89">
        <w:tc>
          <w:tcPr>
            <w:tcW w:w="5670" w:type="dxa"/>
            <w:gridSpan w:val="2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b/>
                <w:sz w:val="20"/>
                <w:szCs w:val="20"/>
              </w:rPr>
              <w:t>Understanding of medication instructions and dosing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0A1" w:rsidRPr="00194F05" w:rsidTr="00570E89">
        <w:tc>
          <w:tcPr>
            <w:tcW w:w="670" w:type="dxa"/>
            <w:shd w:val="clear" w:color="auto" w:fill="auto"/>
          </w:tcPr>
          <w:p w:rsidR="004C40A1" w:rsidRPr="002244A7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2244A7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44A7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</w:tr>
      <w:tr w:rsidR="004C40A1" w:rsidRPr="00194F05" w:rsidTr="00570E89">
        <w:tc>
          <w:tcPr>
            <w:tcW w:w="670" w:type="dxa"/>
            <w:shd w:val="clear" w:color="auto" w:fill="auto"/>
          </w:tcPr>
          <w:p w:rsidR="004C40A1" w:rsidRPr="002244A7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2244A7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44A7">
              <w:rPr>
                <w:rFonts w:ascii="Arial" w:hAnsi="Arial" w:cs="Arial"/>
                <w:sz w:val="20"/>
                <w:szCs w:val="20"/>
              </w:rPr>
              <w:t>All chronic condition medications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4C40A1" w:rsidRPr="00194F05" w:rsidTr="00570E89">
        <w:tc>
          <w:tcPr>
            <w:tcW w:w="670" w:type="dxa"/>
            <w:shd w:val="clear" w:color="auto" w:fill="auto"/>
          </w:tcPr>
          <w:p w:rsidR="004C40A1" w:rsidRPr="002244A7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2244A7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44A7">
              <w:rPr>
                <w:rFonts w:ascii="Arial" w:hAnsi="Arial" w:cs="Arial"/>
                <w:sz w:val="20"/>
                <w:szCs w:val="20"/>
              </w:rPr>
              <w:t>All medications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0.021</w:t>
            </w:r>
          </w:p>
        </w:tc>
      </w:tr>
      <w:tr w:rsidR="004C40A1" w:rsidRPr="00194F05" w:rsidTr="00570E89">
        <w:tc>
          <w:tcPr>
            <w:tcW w:w="5670" w:type="dxa"/>
            <w:gridSpan w:val="2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D2F1F">
              <w:rPr>
                <w:rFonts w:ascii="Arial" w:hAnsi="Arial" w:cs="Arial"/>
                <w:b/>
                <w:sz w:val="20"/>
                <w:szCs w:val="20"/>
              </w:rPr>
              <w:t>edication adherence</w:t>
            </w:r>
            <w:r>
              <w:rPr>
                <w:rFonts w:ascii="Arial" w:hAnsi="Arial" w:cs="Arial"/>
                <w:b/>
                <w:sz w:val="20"/>
                <w:szCs w:val="20"/>
              </w:rPr>
              <w:t>, 4-day recall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0A1" w:rsidRPr="00194F05" w:rsidTr="00570E89">
        <w:tc>
          <w:tcPr>
            <w:tcW w:w="670" w:type="dxa"/>
            <w:shd w:val="clear" w:color="auto" w:fill="auto"/>
          </w:tcPr>
          <w:p w:rsidR="004C40A1" w:rsidRPr="00ED2F1F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950594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50594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0.012</w:t>
            </w:r>
          </w:p>
        </w:tc>
      </w:tr>
      <w:tr w:rsidR="004C40A1" w:rsidRPr="00194F05" w:rsidTr="00570E89">
        <w:tc>
          <w:tcPr>
            <w:tcW w:w="670" w:type="dxa"/>
            <w:shd w:val="clear" w:color="auto" w:fill="auto"/>
          </w:tcPr>
          <w:p w:rsidR="004C40A1" w:rsidRPr="00950594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0" w:type="dxa"/>
            <w:shd w:val="clear" w:color="auto" w:fill="auto"/>
          </w:tcPr>
          <w:p w:rsidR="004C40A1" w:rsidRPr="00950594" w:rsidRDefault="004C40A1" w:rsidP="00570E8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50594">
              <w:rPr>
                <w:rFonts w:ascii="Arial" w:hAnsi="Arial" w:cs="Arial"/>
                <w:sz w:val="20"/>
                <w:szCs w:val="20"/>
              </w:rPr>
              <w:t>All chronic condition medications</w:t>
            </w:r>
          </w:p>
        </w:tc>
        <w:tc>
          <w:tcPr>
            <w:tcW w:w="2160" w:type="dxa"/>
            <w:shd w:val="clear" w:color="auto" w:fill="auto"/>
          </w:tcPr>
          <w:p w:rsidR="004C40A1" w:rsidRPr="00194F05" w:rsidRDefault="004C40A1" w:rsidP="004C40A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0.032</w:t>
            </w:r>
          </w:p>
        </w:tc>
      </w:tr>
    </w:tbl>
    <w:p w:rsidR="00130E72" w:rsidRPr="00C0558E" w:rsidRDefault="004C40A1" w:rsidP="00130E72">
      <w:pPr>
        <w:ind w:left="-576" w:right="-720"/>
        <w:rPr>
          <w:rFonts w:ascii="Arial" w:hAnsi="Arial" w:cs="Arial"/>
          <w:b/>
          <w:sz w:val="20"/>
          <w:szCs w:val="20"/>
        </w:rPr>
      </w:pPr>
      <w:r>
        <w:rPr>
          <w:b/>
        </w:rPr>
        <w:br w:type="column"/>
      </w:r>
      <w:r w:rsidR="00C33BA6">
        <w:rPr>
          <w:b/>
        </w:rPr>
        <w:lastRenderedPageBreak/>
        <w:t>Supplement</w:t>
      </w:r>
      <w:r>
        <w:rPr>
          <w:b/>
        </w:rPr>
        <w:t>al Table 2</w:t>
      </w:r>
      <w:r w:rsidR="00C33BA6">
        <w:rPr>
          <w:b/>
        </w:rPr>
        <w:t xml:space="preserve">: </w:t>
      </w:r>
      <w:r w:rsidR="00130E72" w:rsidRPr="00C0558E">
        <w:rPr>
          <w:b/>
        </w:rPr>
        <w:t>Adjusted Relationships of Medication Sel</w:t>
      </w:r>
      <w:r w:rsidR="00130E72">
        <w:rPr>
          <w:b/>
        </w:rPr>
        <w:t xml:space="preserve">f-Management Outcomes by Health </w:t>
      </w:r>
      <w:r w:rsidR="00130E72" w:rsidRPr="00C0558E">
        <w:rPr>
          <w:b/>
        </w:rPr>
        <w:t>Literacy</w:t>
      </w:r>
      <w:r w:rsidR="008B6DF8">
        <w:rPr>
          <w:b/>
        </w:rPr>
        <w:t xml:space="preserve"> in Models that Include Income and Education</w:t>
      </w:r>
      <w:r w:rsidR="00130E72" w:rsidRPr="00C0558E">
        <w:rPr>
          <w:b/>
        </w:rPr>
        <w:t>*</w:t>
      </w:r>
    </w:p>
    <w:tbl>
      <w:tblPr>
        <w:tblStyle w:val="TableGrid"/>
        <w:tblW w:w="10553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0"/>
        <w:gridCol w:w="2250"/>
        <w:gridCol w:w="1733"/>
        <w:gridCol w:w="990"/>
        <w:gridCol w:w="1800"/>
        <w:gridCol w:w="900"/>
        <w:gridCol w:w="1890"/>
        <w:gridCol w:w="720"/>
      </w:tblGrid>
      <w:tr w:rsidR="00130E72" w:rsidRPr="00147D84" w:rsidTr="008A0DFE">
        <w:tc>
          <w:tcPr>
            <w:tcW w:w="2520" w:type="dxa"/>
            <w:gridSpan w:val="2"/>
          </w:tcPr>
          <w:p w:rsidR="00130E72" w:rsidRPr="00ED2F1F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3" w:type="dxa"/>
            <w:gridSpan w:val="2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F05">
              <w:rPr>
                <w:rFonts w:ascii="Arial" w:hAnsi="Arial" w:cs="Arial"/>
                <w:b/>
                <w:sz w:val="20"/>
                <w:szCs w:val="20"/>
              </w:rPr>
              <w:t>Likely Limited vs Adequate</w:t>
            </w:r>
          </w:p>
        </w:tc>
        <w:tc>
          <w:tcPr>
            <w:tcW w:w="2700" w:type="dxa"/>
            <w:gridSpan w:val="2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F05">
              <w:rPr>
                <w:rFonts w:ascii="Arial" w:hAnsi="Arial" w:cs="Arial"/>
                <w:b/>
                <w:sz w:val="20"/>
                <w:szCs w:val="20"/>
              </w:rPr>
              <w:t>Possibly Limited vs Adequate</w:t>
            </w:r>
          </w:p>
        </w:tc>
        <w:tc>
          <w:tcPr>
            <w:tcW w:w="2610" w:type="dxa"/>
            <w:gridSpan w:val="2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F05">
              <w:rPr>
                <w:rFonts w:ascii="Arial" w:hAnsi="Arial" w:cs="Arial"/>
                <w:b/>
                <w:sz w:val="20"/>
                <w:szCs w:val="20"/>
              </w:rPr>
              <w:t>Likely Limited vs Possibly Limited</w:t>
            </w:r>
          </w:p>
        </w:tc>
      </w:tr>
      <w:tr w:rsidR="00130E72" w:rsidRPr="00147D84" w:rsidTr="008A0DFE">
        <w:tc>
          <w:tcPr>
            <w:tcW w:w="2520" w:type="dxa"/>
            <w:gridSpan w:val="2"/>
          </w:tcPr>
          <w:p w:rsidR="00130E72" w:rsidRPr="00ED2F1F" w:rsidRDefault="00130E72" w:rsidP="008A0DF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F05">
              <w:rPr>
                <w:rFonts w:ascii="Arial" w:hAnsi="Arial" w:cs="Arial"/>
                <w:b/>
                <w:sz w:val="20"/>
                <w:szCs w:val="20"/>
              </w:rPr>
              <w:t>Adjusted odd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4F05">
              <w:rPr>
                <w:rFonts w:ascii="Arial" w:hAnsi="Arial" w:cs="Arial"/>
                <w:b/>
                <w:sz w:val="20"/>
                <w:szCs w:val="20"/>
              </w:rPr>
              <w:t>ratio (CI)</w:t>
            </w:r>
          </w:p>
        </w:tc>
        <w:tc>
          <w:tcPr>
            <w:tcW w:w="990" w:type="dxa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F05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800" w:type="dxa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F05">
              <w:rPr>
                <w:rFonts w:ascii="Arial" w:hAnsi="Arial" w:cs="Arial"/>
                <w:b/>
                <w:sz w:val="20"/>
                <w:szCs w:val="20"/>
              </w:rPr>
              <w:t>Adjusted odd ratio (CI)</w:t>
            </w:r>
          </w:p>
        </w:tc>
        <w:tc>
          <w:tcPr>
            <w:tcW w:w="900" w:type="dxa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F05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890" w:type="dxa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F05">
              <w:rPr>
                <w:rFonts w:ascii="Arial" w:hAnsi="Arial" w:cs="Arial"/>
                <w:b/>
                <w:sz w:val="20"/>
                <w:szCs w:val="20"/>
              </w:rPr>
              <w:t>Adjusted odd ratio (CI)</w:t>
            </w:r>
          </w:p>
        </w:tc>
        <w:tc>
          <w:tcPr>
            <w:tcW w:w="720" w:type="dxa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4F05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</w:tr>
      <w:tr w:rsidR="00130E72" w:rsidRPr="00147D84" w:rsidTr="008A0DFE">
        <w:tc>
          <w:tcPr>
            <w:tcW w:w="2520" w:type="dxa"/>
            <w:gridSpan w:val="2"/>
            <w:shd w:val="clear" w:color="auto" w:fill="auto"/>
          </w:tcPr>
          <w:p w:rsidR="00130E72" w:rsidRPr="00ED2F1F" w:rsidRDefault="00130E72" w:rsidP="008A0DFE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2F1F">
              <w:rPr>
                <w:rFonts w:ascii="Arial" w:hAnsi="Arial" w:cs="Arial"/>
                <w:b/>
                <w:sz w:val="20"/>
                <w:szCs w:val="20"/>
              </w:rPr>
              <w:t>Medications reconciled</w:t>
            </w:r>
          </w:p>
        </w:tc>
        <w:tc>
          <w:tcPr>
            <w:tcW w:w="1733" w:type="dxa"/>
            <w:shd w:val="clear" w:color="auto" w:fill="auto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130E72" w:rsidRPr="00194F05" w:rsidRDefault="00130E72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BA6" w:rsidRPr="00147D84" w:rsidTr="008A0DFE">
        <w:tc>
          <w:tcPr>
            <w:tcW w:w="27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0.53 (0.31, 0.91)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0.021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0.97 (0.66, 1.45)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0.81 (0.59, 1.12)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</w:tr>
      <w:tr w:rsidR="00C33BA6" w:rsidRPr="00147D84" w:rsidTr="008A0DFE">
        <w:trPr>
          <w:trHeight w:val="54"/>
        </w:trPr>
        <w:tc>
          <w:tcPr>
            <w:tcW w:w="27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All chronic condition medications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0.85 (0.52, 1.41)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0.75 (0.47, 1.20)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1.14 (0.75, 1.71)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</w:tr>
      <w:tr w:rsidR="00C33BA6" w:rsidRPr="00147D84" w:rsidTr="008A0DFE">
        <w:trPr>
          <w:trHeight w:val="350"/>
        </w:trPr>
        <w:tc>
          <w:tcPr>
            <w:tcW w:w="27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All medications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0.83 (0.39, 1.73)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0.86 (0.44, 1.68)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0.96 (0.52, 1.76)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</w:tr>
      <w:tr w:rsidR="00C33BA6" w:rsidRPr="00147D84" w:rsidTr="008A0DFE">
        <w:tc>
          <w:tcPr>
            <w:tcW w:w="2520" w:type="dxa"/>
            <w:gridSpan w:val="2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2F1F">
              <w:rPr>
                <w:rFonts w:ascii="Arial" w:hAnsi="Arial" w:cs="Arial"/>
                <w:b/>
                <w:sz w:val="20"/>
                <w:szCs w:val="20"/>
              </w:rPr>
              <w:t>Knowledge of medication indication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BA6" w:rsidRPr="00147D84" w:rsidTr="008A0DFE">
        <w:tc>
          <w:tcPr>
            <w:tcW w:w="27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0.53 (0.29, 0.96)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0.036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0.55 (0.31, 1.0)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0.048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0.95 (0.63, 1.44)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</w:tr>
      <w:tr w:rsidR="00C33BA6" w:rsidRPr="00147D84" w:rsidTr="008A0DFE">
        <w:tc>
          <w:tcPr>
            <w:tcW w:w="27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All chronic condition medications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0.53 (0.32, 0.88)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0.56 (0.34, 0.91)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0.020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0.96 (0.67, 1.36)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</w:tr>
      <w:tr w:rsidR="00C33BA6" w:rsidRPr="00147D84" w:rsidTr="008A0DFE">
        <w:tc>
          <w:tcPr>
            <w:tcW w:w="27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sz w:val="20"/>
                <w:szCs w:val="20"/>
              </w:rPr>
              <w:t>All medications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0.43 (0.28, 0.64)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0.57 (0.38, 0.86)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0.0007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0.74 (0.54, 1.02)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0.065</w:t>
            </w:r>
          </w:p>
        </w:tc>
      </w:tr>
      <w:tr w:rsidR="00C33BA6" w:rsidRPr="00147D84" w:rsidTr="008A0DFE">
        <w:tc>
          <w:tcPr>
            <w:tcW w:w="2520" w:type="dxa"/>
            <w:gridSpan w:val="2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D2F1F">
              <w:rPr>
                <w:rFonts w:ascii="Arial" w:hAnsi="Arial" w:cs="Arial"/>
                <w:b/>
                <w:sz w:val="20"/>
                <w:szCs w:val="20"/>
              </w:rPr>
              <w:t>Understanding of medication instructions and dosing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BA6" w:rsidRPr="00147D84" w:rsidTr="008A0DFE">
        <w:tc>
          <w:tcPr>
            <w:tcW w:w="270" w:type="dxa"/>
            <w:shd w:val="clear" w:color="auto" w:fill="auto"/>
          </w:tcPr>
          <w:p w:rsidR="00C33BA6" w:rsidRPr="002244A7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2244A7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44A7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0.49 (0.27, 0.87)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0.016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0.68 (0.38, 1.23)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0.72 (0.47, 1.10)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</w:tr>
      <w:tr w:rsidR="00C33BA6" w:rsidRPr="00147D84" w:rsidTr="008A0DFE">
        <w:tc>
          <w:tcPr>
            <w:tcW w:w="270" w:type="dxa"/>
            <w:shd w:val="clear" w:color="auto" w:fill="auto"/>
          </w:tcPr>
          <w:p w:rsidR="00C33BA6" w:rsidRPr="002244A7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2244A7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44A7">
              <w:rPr>
                <w:rFonts w:ascii="Arial" w:hAnsi="Arial" w:cs="Arial"/>
                <w:sz w:val="20"/>
                <w:szCs w:val="20"/>
              </w:rPr>
              <w:t>All chronic condition medications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0.49 (0.30, 0.79)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0.58 (0.35, 0.95)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0.029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0.84 (0.59, 1.20)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C33BA6" w:rsidRPr="00147D84" w:rsidTr="008A0DFE">
        <w:tc>
          <w:tcPr>
            <w:tcW w:w="270" w:type="dxa"/>
            <w:shd w:val="clear" w:color="auto" w:fill="auto"/>
          </w:tcPr>
          <w:p w:rsidR="00C33BA6" w:rsidRPr="002244A7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2244A7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244A7">
              <w:rPr>
                <w:rFonts w:ascii="Arial" w:hAnsi="Arial" w:cs="Arial"/>
                <w:sz w:val="20"/>
                <w:szCs w:val="20"/>
              </w:rPr>
              <w:t>All medications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0.49 (0.31, 0.78)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0.66 (0.42, 1.04)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0.075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0.74 (0.53, 1.04)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0.081</w:t>
            </w:r>
          </w:p>
        </w:tc>
      </w:tr>
      <w:tr w:rsidR="00C33BA6" w:rsidRPr="00147D84" w:rsidTr="008A0DFE">
        <w:tc>
          <w:tcPr>
            <w:tcW w:w="2520" w:type="dxa"/>
            <w:gridSpan w:val="2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ED2F1F">
              <w:rPr>
                <w:rFonts w:ascii="Arial" w:hAnsi="Arial" w:cs="Arial"/>
                <w:b/>
                <w:sz w:val="20"/>
                <w:szCs w:val="20"/>
              </w:rPr>
              <w:t>edication adherence</w:t>
            </w:r>
            <w:r>
              <w:rPr>
                <w:rFonts w:ascii="Arial" w:hAnsi="Arial" w:cs="Arial"/>
                <w:b/>
                <w:sz w:val="20"/>
                <w:szCs w:val="20"/>
              </w:rPr>
              <w:t>, 4-day recall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BA6" w:rsidRPr="00950594" w:rsidTr="008A0DFE">
        <w:tc>
          <w:tcPr>
            <w:tcW w:w="270" w:type="dxa"/>
            <w:shd w:val="clear" w:color="auto" w:fill="auto"/>
          </w:tcPr>
          <w:p w:rsidR="00C33BA6" w:rsidRPr="00ED2F1F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950594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50594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1.17 (0.76, 1.79)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1.15 (0.76, 1.74)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1.02 (0.72, 1.44)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</w:tr>
      <w:tr w:rsidR="00C33BA6" w:rsidRPr="00950594" w:rsidTr="008A0DFE">
        <w:tc>
          <w:tcPr>
            <w:tcW w:w="270" w:type="dxa"/>
            <w:shd w:val="clear" w:color="auto" w:fill="auto"/>
          </w:tcPr>
          <w:p w:rsidR="00C33BA6" w:rsidRPr="00950594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C33BA6" w:rsidRPr="00950594" w:rsidRDefault="00C33BA6" w:rsidP="00C33BA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50594">
              <w:rPr>
                <w:rFonts w:ascii="Arial" w:hAnsi="Arial" w:cs="Arial"/>
                <w:sz w:val="20"/>
                <w:szCs w:val="20"/>
              </w:rPr>
              <w:t>All chronic condition medications</w:t>
            </w:r>
          </w:p>
        </w:tc>
        <w:tc>
          <w:tcPr>
            <w:tcW w:w="1733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1.33 (0.88, 2.01)</w:t>
            </w:r>
          </w:p>
        </w:tc>
        <w:tc>
          <w:tcPr>
            <w:tcW w:w="99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180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1.21 (0.81, 1.80)</w:t>
            </w:r>
          </w:p>
        </w:tc>
        <w:tc>
          <w:tcPr>
            <w:tcW w:w="90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</w:t>
            </w:r>
          </w:p>
        </w:tc>
        <w:tc>
          <w:tcPr>
            <w:tcW w:w="1890" w:type="dxa"/>
            <w:shd w:val="clear" w:color="auto" w:fill="auto"/>
          </w:tcPr>
          <w:p w:rsidR="00C33BA6" w:rsidRPr="00C33BA6" w:rsidRDefault="00C33BA6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3BA6">
              <w:rPr>
                <w:rFonts w:ascii="Arial" w:hAnsi="Arial" w:cs="Arial"/>
                <w:sz w:val="20"/>
                <w:szCs w:val="20"/>
              </w:rPr>
              <w:t>1.10 (0.80, 1.52)</w:t>
            </w:r>
          </w:p>
        </w:tc>
        <w:tc>
          <w:tcPr>
            <w:tcW w:w="720" w:type="dxa"/>
            <w:shd w:val="clear" w:color="auto" w:fill="auto"/>
          </w:tcPr>
          <w:p w:rsidR="00C33BA6" w:rsidRPr="00C33BA6" w:rsidRDefault="008B6DF8" w:rsidP="00C33B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</w:t>
            </w:r>
            <w:bookmarkStart w:id="0" w:name="_GoBack"/>
            <w:bookmarkEnd w:id="0"/>
          </w:p>
        </w:tc>
      </w:tr>
    </w:tbl>
    <w:p w:rsidR="00130E72" w:rsidRPr="006E3BF0" w:rsidRDefault="00130E72" w:rsidP="00130E72">
      <w:pPr>
        <w:ind w:left="-720" w:right="-720"/>
        <w:rPr>
          <w:rFonts w:ascii="Arial" w:hAnsi="Arial" w:cs="Arial"/>
          <w:b/>
        </w:rPr>
      </w:pPr>
      <w:r w:rsidRPr="006E3BF0">
        <w:rPr>
          <w:rFonts w:ascii="Arial" w:hAnsi="Arial" w:cs="Arial"/>
        </w:rPr>
        <w:t xml:space="preserve">*Numbers do not always equal total number of participants in each arm in cases where no ACCESS record was available (medication reconciliation), no patient-reported medications could not be identified in the category, or due to non-response. CI: 95% confidence interval. All models use adequate health literacy category as the reference group. Models include </w:t>
      </w:r>
      <w:r w:rsidR="00C33BA6">
        <w:rPr>
          <w:rFonts w:ascii="Arial" w:hAnsi="Arial" w:cs="Arial"/>
        </w:rPr>
        <w:t xml:space="preserve">income, education, </w:t>
      </w:r>
      <w:r w:rsidRPr="006E3BF0">
        <w:rPr>
          <w:rFonts w:ascii="Arial" w:hAnsi="Arial" w:cs="Arial"/>
        </w:rPr>
        <w:t>age, sex, and number of medication as fixed effects and health center as random effects.</w:t>
      </w:r>
    </w:p>
    <w:p w:rsidR="00130E72" w:rsidRPr="00970E4E" w:rsidRDefault="00130E72" w:rsidP="00130E72">
      <w:pPr>
        <w:pStyle w:val="NoSpacing"/>
        <w:rPr>
          <w:rFonts w:ascii="Arial" w:hAnsi="Arial" w:cs="Arial"/>
        </w:rPr>
      </w:pPr>
    </w:p>
    <w:p w:rsidR="009F7B2D" w:rsidRDefault="008B6DF8"/>
    <w:sectPr w:rsidR="009F7B2D" w:rsidSect="00D17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0B"/>
    <w:rsid w:val="00064E2C"/>
    <w:rsid w:val="00130E72"/>
    <w:rsid w:val="00274B0B"/>
    <w:rsid w:val="004309BD"/>
    <w:rsid w:val="004C40A1"/>
    <w:rsid w:val="00705787"/>
    <w:rsid w:val="00872C02"/>
    <w:rsid w:val="008B6DF8"/>
    <w:rsid w:val="00A22477"/>
    <w:rsid w:val="00C33BA6"/>
    <w:rsid w:val="00D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93D3"/>
  <w15:chartTrackingRefBased/>
  <w15:docId w15:val="{98FE8BA5-7B62-499A-847B-49AAE2CD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30E72"/>
    <w:pPr>
      <w:spacing w:after="0" w:line="240" w:lineRule="auto"/>
    </w:pPr>
  </w:style>
  <w:style w:type="table" w:styleId="TableGrid">
    <w:name w:val="Table Grid"/>
    <w:basedOn w:val="TableNormal"/>
    <w:uiPriority w:val="39"/>
    <w:rsid w:val="0013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30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 Persell</dc:creator>
  <cp:keywords/>
  <dc:description/>
  <cp:lastModifiedBy>Stephen D Persell</cp:lastModifiedBy>
  <cp:revision>7</cp:revision>
  <dcterms:created xsi:type="dcterms:W3CDTF">2019-01-21T14:50:00Z</dcterms:created>
  <dcterms:modified xsi:type="dcterms:W3CDTF">2019-01-29T14:13:00Z</dcterms:modified>
</cp:coreProperties>
</file>