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1FE7" w14:textId="77777777" w:rsidR="006F394C" w:rsidRDefault="006F394C" w:rsidP="006F394C">
      <w:pPr>
        <w:rPr>
          <w:rFonts w:eastAsia="Calibri" w:cs="Times New Roman"/>
          <w:b/>
          <w:sz w:val="20"/>
        </w:rPr>
      </w:pPr>
      <w:bookmarkStart w:id="0" w:name="_GoBack"/>
      <w:bookmarkEnd w:id="0"/>
      <w:r>
        <w:rPr>
          <w:rFonts w:eastAsia="Calibri" w:cs="Times New Roman"/>
          <w:b/>
          <w:sz w:val="20"/>
        </w:rPr>
        <w:t>SUPPLEMENTARY MATERIAL</w:t>
      </w:r>
    </w:p>
    <w:p w14:paraId="279DCBEB" w14:textId="77777777" w:rsidR="006F394C" w:rsidRPr="00766771" w:rsidRDefault="006F394C" w:rsidP="006F394C">
      <w:pPr>
        <w:rPr>
          <w:rFonts w:eastAsia="Calibri" w:cs="Times New Roman"/>
          <w:b/>
          <w:sz w:val="20"/>
        </w:rPr>
      </w:pPr>
      <w:r>
        <w:rPr>
          <w:rFonts w:eastAsia="Calibri" w:cs="Times New Roman"/>
          <w:b/>
          <w:sz w:val="20"/>
        </w:rPr>
        <w:t xml:space="preserve">Supplementary </w:t>
      </w:r>
      <w:r w:rsidRPr="00766771">
        <w:rPr>
          <w:rFonts w:eastAsia="Calibri" w:cs="Times New Roman"/>
          <w:b/>
          <w:sz w:val="20"/>
        </w:rPr>
        <w:t xml:space="preserve">Table </w:t>
      </w:r>
      <w:r>
        <w:rPr>
          <w:rFonts w:eastAsia="Calibri" w:cs="Times New Roman"/>
          <w:b/>
          <w:sz w:val="20"/>
        </w:rPr>
        <w:t>1</w:t>
      </w:r>
      <w:r w:rsidRPr="00766771">
        <w:rPr>
          <w:rFonts w:eastAsia="Calibri" w:cs="Times New Roman"/>
          <w:b/>
          <w:sz w:val="20"/>
        </w:rPr>
        <w:t xml:space="preserve">. </w:t>
      </w:r>
      <w:r>
        <w:rPr>
          <w:rFonts w:eastAsia="Calibri" w:cs="Times New Roman"/>
          <w:b/>
          <w:sz w:val="20"/>
        </w:rPr>
        <w:t>Summary of MACE</w:t>
      </w:r>
      <w:r w:rsidRPr="00766771">
        <w:rPr>
          <w:rFonts w:eastAsia="Calibri" w:cs="Times New Roman"/>
          <w:b/>
          <w:sz w:val="20"/>
        </w:rPr>
        <w:t xml:space="preserve"> in Japan </w:t>
      </w:r>
      <w:r>
        <w:rPr>
          <w:rFonts w:eastAsia="Calibri" w:cs="Times New Roman"/>
          <w:b/>
          <w:sz w:val="20"/>
        </w:rPr>
        <w:t xml:space="preserve">subgroup </w:t>
      </w:r>
      <w:r w:rsidRPr="00766771">
        <w:rPr>
          <w:rFonts w:eastAsia="Calibri" w:cs="Times New Roman"/>
          <w:b/>
          <w:sz w:val="20"/>
        </w:rPr>
        <w:t>and overall study population (ITT populations)</w:t>
      </w:r>
    </w:p>
    <w:tbl>
      <w:tblPr>
        <w:tblStyle w:val="TableGrid"/>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1489"/>
        <w:gridCol w:w="1489"/>
        <w:gridCol w:w="1490"/>
        <w:gridCol w:w="1489"/>
        <w:gridCol w:w="1489"/>
        <w:gridCol w:w="1490"/>
      </w:tblGrid>
      <w:tr w:rsidR="006F394C" w:rsidRPr="00766771" w14:paraId="45643C52" w14:textId="77777777" w:rsidTr="007C1FF5">
        <w:trPr>
          <w:trHeight w:val="582"/>
        </w:trPr>
        <w:tc>
          <w:tcPr>
            <w:tcW w:w="5082" w:type="dxa"/>
            <w:tcBorders>
              <w:top w:val="single" w:sz="4" w:space="0" w:color="auto"/>
            </w:tcBorders>
          </w:tcPr>
          <w:p w14:paraId="6BA4B888" w14:textId="77777777" w:rsidR="006F394C" w:rsidRPr="00766771" w:rsidRDefault="006F394C" w:rsidP="007C1FF5">
            <w:pPr>
              <w:spacing w:after="160" w:line="259" w:lineRule="auto"/>
              <w:rPr>
                <w:rFonts w:eastAsia="Calibri" w:cs="Times New Roman"/>
                <w:b/>
                <w:sz w:val="20"/>
              </w:rPr>
            </w:pPr>
          </w:p>
        </w:tc>
        <w:tc>
          <w:tcPr>
            <w:tcW w:w="4468" w:type="dxa"/>
            <w:gridSpan w:val="3"/>
            <w:tcBorders>
              <w:top w:val="single" w:sz="4" w:space="0" w:color="auto"/>
              <w:right w:val="single" w:sz="4" w:space="0" w:color="auto"/>
            </w:tcBorders>
          </w:tcPr>
          <w:p w14:paraId="29482228"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Japan</w:t>
            </w:r>
          </w:p>
        </w:tc>
        <w:tc>
          <w:tcPr>
            <w:tcW w:w="4468" w:type="dxa"/>
            <w:gridSpan w:val="3"/>
            <w:tcBorders>
              <w:top w:val="single" w:sz="4" w:space="0" w:color="auto"/>
              <w:left w:val="single" w:sz="4" w:space="0" w:color="auto"/>
            </w:tcBorders>
          </w:tcPr>
          <w:p w14:paraId="4F532FF9"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Overall</w:t>
            </w:r>
          </w:p>
        </w:tc>
      </w:tr>
      <w:tr w:rsidR="006F394C" w:rsidRPr="00766771" w14:paraId="4874CFCB" w14:textId="77777777" w:rsidTr="007C1FF5">
        <w:trPr>
          <w:trHeight w:val="582"/>
        </w:trPr>
        <w:tc>
          <w:tcPr>
            <w:tcW w:w="5082" w:type="dxa"/>
            <w:tcBorders>
              <w:bottom w:val="single" w:sz="4" w:space="0" w:color="auto"/>
            </w:tcBorders>
          </w:tcPr>
          <w:p w14:paraId="316AFFF7" w14:textId="77777777" w:rsidR="006F394C" w:rsidRPr="00766771" w:rsidRDefault="006F394C" w:rsidP="007C1FF5">
            <w:pPr>
              <w:spacing w:after="160" w:line="259" w:lineRule="auto"/>
              <w:rPr>
                <w:rFonts w:eastAsia="Calibri" w:cs="Times New Roman"/>
                <w:b/>
                <w:sz w:val="20"/>
              </w:rPr>
            </w:pPr>
            <w:r>
              <w:rPr>
                <w:rFonts w:eastAsia="Calibri" w:cs="Times New Roman"/>
                <w:b/>
                <w:sz w:val="20"/>
              </w:rPr>
              <w:t>MACE</w:t>
            </w:r>
            <w:r w:rsidRPr="00766771">
              <w:rPr>
                <w:rFonts w:eastAsia="Calibri" w:cs="Times New Roman"/>
                <w:b/>
                <w:sz w:val="20"/>
              </w:rPr>
              <w:t xml:space="preserve"> incidence, n (%)</w:t>
            </w:r>
          </w:p>
        </w:tc>
        <w:tc>
          <w:tcPr>
            <w:tcW w:w="1489" w:type="dxa"/>
            <w:tcBorders>
              <w:bottom w:val="single" w:sz="4" w:space="0" w:color="auto"/>
            </w:tcBorders>
          </w:tcPr>
          <w:p w14:paraId="70EA68F7"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FF/UMEC/VI</w:t>
            </w:r>
          </w:p>
          <w:p w14:paraId="6BC9BB72"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n=149</w:t>
            </w:r>
          </w:p>
        </w:tc>
        <w:tc>
          <w:tcPr>
            <w:tcW w:w="1489" w:type="dxa"/>
            <w:tcBorders>
              <w:bottom w:val="single" w:sz="4" w:space="0" w:color="auto"/>
            </w:tcBorders>
          </w:tcPr>
          <w:p w14:paraId="3528FE06"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FF/VI</w:t>
            </w:r>
          </w:p>
          <w:p w14:paraId="00A5FE88"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n=149</w:t>
            </w:r>
          </w:p>
        </w:tc>
        <w:tc>
          <w:tcPr>
            <w:tcW w:w="1490" w:type="dxa"/>
            <w:tcBorders>
              <w:bottom w:val="single" w:sz="4" w:space="0" w:color="auto"/>
              <w:right w:val="single" w:sz="4" w:space="0" w:color="auto"/>
            </w:tcBorders>
          </w:tcPr>
          <w:p w14:paraId="7B224C6B"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UMEC/VI</w:t>
            </w:r>
          </w:p>
          <w:p w14:paraId="6DDA9ABB"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n=80</w:t>
            </w:r>
          </w:p>
        </w:tc>
        <w:tc>
          <w:tcPr>
            <w:tcW w:w="1489" w:type="dxa"/>
            <w:tcBorders>
              <w:left w:val="single" w:sz="4" w:space="0" w:color="auto"/>
              <w:bottom w:val="single" w:sz="4" w:space="0" w:color="auto"/>
            </w:tcBorders>
          </w:tcPr>
          <w:p w14:paraId="766EF908"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FF/UMEC/VI</w:t>
            </w:r>
          </w:p>
          <w:p w14:paraId="1A54A6EA"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n=4151</w:t>
            </w:r>
          </w:p>
        </w:tc>
        <w:tc>
          <w:tcPr>
            <w:tcW w:w="1489" w:type="dxa"/>
            <w:tcBorders>
              <w:bottom w:val="single" w:sz="4" w:space="0" w:color="auto"/>
            </w:tcBorders>
          </w:tcPr>
          <w:p w14:paraId="3C940DFD"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FF/VI</w:t>
            </w:r>
          </w:p>
          <w:p w14:paraId="16E9787B"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n=4134</w:t>
            </w:r>
          </w:p>
        </w:tc>
        <w:tc>
          <w:tcPr>
            <w:tcW w:w="1490" w:type="dxa"/>
            <w:tcBorders>
              <w:bottom w:val="single" w:sz="4" w:space="0" w:color="auto"/>
            </w:tcBorders>
          </w:tcPr>
          <w:p w14:paraId="15BFCACC"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UMEC/VI</w:t>
            </w:r>
          </w:p>
          <w:p w14:paraId="79D3ABDA" w14:textId="77777777" w:rsidR="006F394C" w:rsidRPr="00766771" w:rsidRDefault="006F394C" w:rsidP="007C1FF5">
            <w:pPr>
              <w:spacing w:after="160" w:line="259" w:lineRule="auto"/>
              <w:jc w:val="center"/>
              <w:rPr>
                <w:rFonts w:eastAsia="Calibri" w:cs="Times New Roman"/>
                <w:b/>
                <w:sz w:val="20"/>
              </w:rPr>
            </w:pPr>
            <w:r w:rsidRPr="00766771">
              <w:rPr>
                <w:rFonts w:eastAsia="Calibri" w:cs="Times New Roman"/>
                <w:b/>
                <w:sz w:val="20"/>
              </w:rPr>
              <w:t>n=2070</w:t>
            </w:r>
          </w:p>
        </w:tc>
      </w:tr>
      <w:tr w:rsidR="006F394C" w:rsidRPr="00766771" w14:paraId="70D79482" w14:textId="77777777" w:rsidTr="007C1FF5">
        <w:trPr>
          <w:trHeight w:val="365"/>
        </w:trPr>
        <w:tc>
          <w:tcPr>
            <w:tcW w:w="5082" w:type="dxa"/>
            <w:vAlign w:val="center"/>
          </w:tcPr>
          <w:p w14:paraId="4454737D" w14:textId="77777777" w:rsidR="006F394C" w:rsidRPr="00766771" w:rsidRDefault="006F394C" w:rsidP="007C1FF5">
            <w:pPr>
              <w:spacing w:after="160" w:line="259" w:lineRule="auto"/>
              <w:rPr>
                <w:rFonts w:eastAsia="Calibri" w:cs="Times New Roman"/>
                <w:b/>
                <w:sz w:val="20"/>
              </w:rPr>
            </w:pPr>
            <w:r w:rsidRPr="00766771">
              <w:rPr>
                <w:rFonts w:eastAsia="Calibri" w:cs="Times New Roman"/>
                <w:b/>
                <w:sz w:val="20"/>
              </w:rPr>
              <w:t>Any MACE (narrow definition</w:t>
            </w:r>
            <w:r>
              <w:rPr>
                <w:rFonts w:eastAsia="Calibri" w:cs="Times New Roman"/>
                <w:b/>
                <w:sz w:val="20"/>
              </w:rPr>
              <w:t>*</w:t>
            </w:r>
            <w:r w:rsidRPr="00766771">
              <w:rPr>
                <w:rFonts w:eastAsia="Calibri" w:cs="Times New Roman"/>
                <w:b/>
                <w:sz w:val="20"/>
              </w:rPr>
              <w:t>)</w:t>
            </w:r>
          </w:p>
        </w:tc>
        <w:tc>
          <w:tcPr>
            <w:tcW w:w="1489" w:type="dxa"/>
            <w:vAlign w:val="center"/>
          </w:tcPr>
          <w:p w14:paraId="76DF6CF5"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0</w:t>
            </w:r>
          </w:p>
        </w:tc>
        <w:tc>
          <w:tcPr>
            <w:tcW w:w="1489" w:type="dxa"/>
            <w:vAlign w:val="center"/>
          </w:tcPr>
          <w:p w14:paraId="7463D814"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 (&lt;1)</w:t>
            </w:r>
          </w:p>
        </w:tc>
        <w:tc>
          <w:tcPr>
            <w:tcW w:w="1490" w:type="dxa"/>
            <w:tcBorders>
              <w:right w:val="single" w:sz="4" w:space="0" w:color="auto"/>
            </w:tcBorders>
            <w:vAlign w:val="center"/>
          </w:tcPr>
          <w:p w14:paraId="356578D1"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 (1)</w:t>
            </w:r>
          </w:p>
        </w:tc>
        <w:tc>
          <w:tcPr>
            <w:tcW w:w="1489" w:type="dxa"/>
            <w:tcBorders>
              <w:left w:val="single" w:sz="4" w:space="0" w:color="auto"/>
            </w:tcBorders>
            <w:vAlign w:val="center"/>
          </w:tcPr>
          <w:p w14:paraId="10D8C604"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80 (2)</w:t>
            </w:r>
          </w:p>
        </w:tc>
        <w:tc>
          <w:tcPr>
            <w:tcW w:w="1489" w:type="dxa"/>
            <w:vAlign w:val="center"/>
          </w:tcPr>
          <w:p w14:paraId="673143FE"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60 (1)</w:t>
            </w:r>
          </w:p>
        </w:tc>
        <w:tc>
          <w:tcPr>
            <w:tcW w:w="1490" w:type="dxa"/>
            <w:vAlign w:val="center"/>
          </w:tcPr>
          <w:p w14:paraId="680A5E7B"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37 (2)</w:t>
            </w:r>
          </w:p>
        </w:tc>
      </w:tr>
      <w:tr w:rsidR="006F394C" w:rsidRPr="00766771" w14:paraId="0C6E325B" w14:textId="77777777" w:rsidTr="007C1FF5">
        <w:trPr>
          <w:trHeight w:val="365"/>
        </w:trPr>
        <w:tc>
          <w:tcPr>
            <w:tcW w:w="5082" w:type="dxa"/>
            <w:tcBorders>
              <w:bottom w:val="single" w:sz="4" w:space="0" w:color="auto"/>
            </w:tcBorders>
            <w:vAlign w:val="center"/>
          </w:tcPr>
          <w:p w14:paraId="19693AC9" w14:textId="77777777" w:rsidR="006F394C" w:rsidRPr="00766771" w:rsidRDefault="006F394C" w:rsidP="007C1FF5">
            <w:pPr>
              <w:spacing w:after="160" w:line="259" w:lineRule="auto"/>
              <w:rPr>
                <w:rFonts w:eastAsia="Calibri" w:cs="Times New Roman"/>
                <w:b/>
                <w:sz w:val="20"/>
              </w:rPr>
            </w:pPr>
            <w:r w:rsidRPr="00766771">
              <w:rPr>
                <w:rFonts w:eastAsia="Calibri" w:cs="Times New Roman"/>
                <w:b/>
                <w:sz w:val="20"/>
              </w:rPr>
              <w:t>Any MACE (broad definition</w:t>
            </w:r>
            <w:r w:rsidRPr="00B35AA1">
              <w:rPr>
                <w:rFonts w:ascii="Calibri" w:eastAsia="Calibri" w:hAnsi="Calibri" w:cs="Times New Roman"/>
                <w:sz w:val="20"/>
              </w:rPr>
              <w:t>†</w:t>
            </w:r>
            <w:r w:rsidRPr="00766771">
              <w:rPr>
                <w:rFonts w:eastAsia="Calibri" w:cs="Times New Roman"/>
                <w:b/>
                <w:sz w:val="20"/>
              </w:rPr>
              <w:t>)</w:t>
            </w:r>
          </w:p>
        </w:tc>
        <w:tc>
          <w:tcPr>
            <w:tcW w:w="1489" w:type="dxa"/>
            <w:tcBorders>
              <w:bottom w:val="single" w:sz="4" w:space="0" w:color="auto"/>
            </w:tcBorders>
            <w:vAlign w:val="center"/>
          </w:tcPr>
          <w:p w14:paraId="7500F8B9"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2 (1)</w:t>
            </w:r>
          </w:p>
        </w:tc>
        <w:tc>
          <w:tcPr>
            <w:tcW w:w="1489" w:type="dxa"/>
            <w:tcBorders>
              <w:bottom w:val="single" w:sz="4" w:space="0" w:color="auto"/>
            </w:tcBorders>
            <w:vAlign w:val="center"/>
          </w:tcPr>
          <w:p w14:paraId="4152CAE4"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 (&lt;1)</w:t>
            </w:r>
          </w:p>
        </w:tc>
        <w:tc>
          <w:tcPr>
            <w:tcW w:w="1490" w:type="dxa"/>
            <w:tcBorders>
              <w:bottom w:val="single" w:sz="4" w:space="0" w:color="auto"/>
              <w:right w:val="single" w:sz="4" w:space="0" w:color="auto"/>
            </w:tcBorders>
            <w:vAlign w:val="center"/>
          </w:tcPr>
          <w:p w14:paraId="203E6612"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 (1)</w:t>
            </w:r>
          </w:p>
        </w:tc>
        <w:tc>
          <w:tcPr>
            <w:tcW w:w="1489" w:type="dxa"/>
            <w:tcBorders>
              <w:left w:val="single" w:sz="4" w:space="0" w:color="auto"/>
              <w:bottom w:val="single" w:sz="4" w:space="0" w:color="auto"/>
            </w:tcBorders>
            <w:vAlign w:val="center"/>
          </w:tcPr>
          <w:p w14:paraId="14DE80D5"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133 (3)</w:t>
            </w:r>
          </w:p>
        </w:tc>
        <w:tc>
          <w:tcPr>
            <w:tcW w:w="1489" w:type="dxa"/>
            <w:tcBorders>
              <w:bottom w:val="single" w:sz="4" w:space="0" w:color="auto"/>
            </w:tcBorders>
            <w:vAlign w:val="center"/>
          </w:tcPr>
          <w:p w14:paraId="37011903"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100 (2)</w:t>
            </w:r>
          </w:p>
        </w:tc>
        <w:tc>
          <w:tcPr>
            <w:tcW w:w="1490" w:type="dxa"/>
            <w:tcBorders>
              <w:bottom w:val="single" w:sz="4" w:space="0" w:color="auto"/>
            </w:tcBorders>
            <w:vAlign w:val="center"/>
          </w:tcPr>
          <w:p w14:paraId="40295351" w14:textId="77777777" w:rsidR="006F394C" w:rsidRPr="00766771" w:rsidRDefault="006F394C" w:rsidP="007C1FF5">
            <w:pPr>
              <w:spacing w:after="160" w:line="259" w:lineRule="auto"/>
              <w:jc w:val="center"/>
              <w:rPr>
                <w:rFonts w:eastAsia="Calibri" w:cs="Times New Roman"/>
                <w:sz w:val="20"/>
              </w:rPr>
            </w:pPr>
            <w:r w:rsidRPr="00766771">
              <w:rPr>
                <w:rFonts w:eastAsia="Calibri" w:cs="Times New Roman"/>
                <w:sz w:val="20"/>
              </w:rPr>
              <w:t>66 (3)</w:t>
            </w:r>
          </w:p>
        </w:tc>
      </w:tr>
    </w:tbl>
    <w:p w14:paraId="7A8E7E0F" w14:textId="77777777" w:rsidR="006F394C" w:rsidRDefault="006F394C" w:rsidP="006F394C">
      <w:pPr>
        <w:rPr>
          <w:rFonts w:eastAsia="Calibri" w:cs="Times New Roman"/>
          <w:sz w:val="20"/>
        </w:rPr>
      </w:pPr>
      <w:r>
        <w:rPr>
          <w:rFonts w:eastAsia="Calibri" w:cs="Times New Roman"/>
          <w:sz w:val="20"/>
        </w:rPr>
        <w:t>*</w:t>
      </w:r>
      <w:r w:rsidRPr="00766771">
        <w:rPr>
          <w:rFonts w:eastAsia="Calibri" w:cs="Times New Roman"/>
          <w:sz w:val="20"/>
        </w:rPr>
        <w:t xml:space="preserve">The narrow definition of MACE included preferred terms for non-fatal myocardial infarction and non-fatal acute myocardial infarction, central nervous system hemorrhages and cerebrovascular conditions SMQ excluding fatalities and adjudicated cardiovascular deaths; </w:t>
      </w:r>
      <w:r w:rsidRPr="00B35AA1">
        <w:rPr>
          <w:rFonts w:ascii="Calibri" w:eastAsia="Calibri" w:hAnsi="Calibri" w:cs="Times New Roman"/>
          <w:sz w:val="20"/>
        </w:rPr>
        <w:t>†</w:t>
      </w:r>
      <w:r w:rsidRPr="00766771">
        <w:rPr>
          <w:rFonts w:eastAsia="Calibri" w:cs="Times New Roman"/>
          <w:sz w:val="20"/>
        </w:rPr>
        <w:t>The broad definition of MACE included ischemic heart disease SMQ (myocardial infraction SMQ and other ischemic heart disease SMQ) excluding fatalities, the central nervous system hemorrhages and cardiovascular condition SMQ excluding fatalities and adjudicated cardiovascular deaths.</w:t>
      </w:r>
      <w:r>
        <w:rPr>
          <w:rFonts w:eastAsia="Calibri" w:cs="Times New Roman"/>
          <w:sz w:val="20"/>
        </w:rPr>
        <w:t xml:space="preserve"> </w:t>
      </w:r>
    </w:p>
    <w:p w14:paraId="4786FDB6" w14:textId="77777777" w:rsidR="006F394C" w:rsidRDefault="006F394C" w:rsidP="006F394C">
      <w:pPr>
        <w:rPr>
          <w:rFonts w:ascii="Calibri" w:eastAsia="Calibri" w:hAnsi="Calibri" w:cs="Times New Roman"/>
          <w:noProof/>
          <w:sz w:val="20"/>
        </w:rPr>
      </w:pPr>
      <w:r w:rsidRPr="00766771">
        <w:rPr>
          <w:rFonts w:eastAsia="Calibri" w:cs="Times New Roman"/>
          <w:sz w:val="20"/>
        </w:rPr>
        <w:t>FF, fluticasone furoate; ITT, intent-to-treat; MACE, major cardiovascular event; SMQ, Standardized MedDRA (Medical Dictionary for Regulatory Activities) query; UMEC, umeclidinium; VI, vilanterol.</w:t>
      </w:r>
    </w:p>
    <w:p w14:paraId="20BFF720" w14:textId="77777777" w:rsidR="006F394C" w:rsidRPr="00F80E6F" w:rsidRDefault="006F394C" w:rsidP="006F394C">
      <w:pPr>
        <w:rPr>
          <w:rFonts w:ascii="Calibri" w:eastAsia="Calibri" w:hAnsi="Calibri" w:cs="Times New Roman"/>
          <w:sz w:val="20"/>
        </w:rPr>
      </w:pPr>
    </w:p>
    <w:p w14:paraId="7F784F74" w14:textId="77777777" w:rsidR="006F394C" w:rsidRDefault="006F394C" w:rsidP="006F394C"/>
    <w:p w14:paraId="458D0442" w14:textId="77777777" w:rsidR="00B90734" w:rsidRDefault="00B90734"/>
    <w:sectPr w:rsidR="00B90734" w:rsidSect="006F39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4C"/>
    <w:rsid w:val="000116E7"/>
    <w:rsid w:val="000375B0"/>
    <w:rsid w:val="00040CB7"/>
    <w:rsid w:val="00043D1F"/>
    <w:rsid w:val="0004666F"/>
    <w:rsid w:val="00066A40"/>
    <w:rsid w:val="00077E32"/>
    <w:rsid w:val="00077E52"/>
    <w:rsid w:val="0009533D"/>
    <w:rsid w:val="000A4E31"/>
    <w:rsid w:val="000C4B2B"/>
    <w:rsid w:val="000D1021"/>
    <w:rsid w:val="000E29AE"/>
    <w:rsid w:val="000E7BCD"/>
    <w:rsid w:val="000F2EE7"/>
    <w:rsid w:val="000F421B"/>
    <w:rsid w:val="000F50E6"/>
    <w:rsid w:val="001021B1"/>
    <w:rsid w:val="00117F37"/>
    <w:rsid w:val="00123D20"/>
    <w:rsid w:val="001405CC"/>
    <w:rsid w:val="00141CC1"/>
    <w:rsid w:val="00143405"/>
    <w:rsid w:val="0015227F"/>
    <w:rsid w:val="00160921"/>
    <w:rsid w:val="0016792B"/>
    <w:rsid w:val="00193641"/>
    <w:rsid w:val="001A70A0"/>
    <w:rsid w:val="001C632E"/>
    <w:rsid w:val="001D23AC"/>
    <w:rsid w:val="001F6D5C"/>
    <w:rsid w:val="00202E37"/>
    <w:rsid w:val="0021065C"/>
    <w:rsid w:val="00214BBE"/>
    <w:rsid w:val="0022447C"/>
    <w:rsid w:val="00232AE7"/>
    <w:rsid w:val="002348E2"/>
    <w:rsid w:val="00247A6D"/>
    <w:rsid w:val="00257279"/>
    <w:rsid w:val="00272D26"/>
    <w:rsid w:val="00273B76"/>
    <w:rsid w:val="00280FA3"/>
    <w:rsid w:val="00281EA9"/>
    <w:rsid w:val="00285A41"/>
    <w:rsid w:val="002A3D04"/>
    <w:rsid w:val="002A5F3F"/>
    <w:rsid w:val="002C0634"/>
    <w:rsid w:val="002C1D1E"/>
    <w:rsid w:val="002F40EE"/>
    <w:rsid w:val="002F41C5"/>
    <w:rsid w:val="003031EE"/>
    <w:rsid w:val="00307E69"/>
    <w:rsid w:val="003133D9"/>
    <w:rsid w:val="00317BB3"/>
    <w:rsid w:val="003232A8"/>
    <w:rsid w:val="00327F8B"/>
    <w:rsid w:val="00331C79"/>
    <w:rsid w:val="00332DC6"/>
    <w:rsid w:val="00337C3A"/>
    <w:rsid w:val="003454D0"/>
    <w:rsid w:val="003512D3"/>
    <w:rsid w:val="00354A91"/>
    <w:rsid w:val="003803A0"/>
    <w:rsid w:val="00385019"/>
    <w:rsid w:val="0038660F"/>
    <w:rsid w:val="003A37CC"/>
    <w:rsid w:val="003A5B56"/>
    <w:rsid w:val="003A7B2E"/>
    <w:rsid w:val="003B2747"/>
    <w:rsid w:val="003E29D1"/>
    <w:rsid w:val="003E5853"/>
    <w:rsid w:val="003F0C97"/>
    <w:rsid w:val="003F1574"/>
    <w:rsid w:val="003F3E59"/>
    <w:rsid w:val="00401CA3"/>
    <w:rsid w:val="004242E6"/>
    <w:rsid w:val="004310E2"/>
    <w:rsid w:val="004325C0"/>
    <w:rsid w:val="0045162D"/>
    <w:rsid w:val="0048474E"/>
    <w:rsid w:val="0049504F"/>
    <w:rsid w:val="004A02B3"/>
    <w:rsid w:val="004D4A38"/>
    <w:rsid w:val="004F2494"/>
    <w:rsid w:val="00504A17"/>
    <w:rsid w:val="0050604F"/>
    <w:rsid w:val="005240CA"/>
    <w:rsid w:val="00527EFF"/>
    <w:rsid w:val="0055412E"/>
    <w:rsid w:val="0056112A"/>
    <w:rsid w:val="00562714"/>
    <w:rsid w:val="00563A79"/>
    <w:rsid w:val="005648C5"/>
    <w:rsid w:val="00564945"/>
    <w:rsid w:val="005706A8"/>
    <w:rsid w:val="0058486E"/>
    <w:rsid w:val="00594295"/>
    <w:rsid w:val="005B24BB"/>
    <w:rsid w:val="005D40F7"/>
    <w:rsid w:val="005E0E42"/>
    <w:rsid w:val="005F1226"/>
    <w:rsid w:val="006154CB"/>
    <w:rsid w:val="00617C35"/>
    <w:rsid w:val="00617D35"/>
    <w:rsid w:val="00631C4E"/>
    <w:rsid w:val="006407AE"/>
    <w:rsid w:val="0064572C"/>
    <w:rsid w:val="00653ABD"/>
    <w:rsid w:val="00660CA7"/>
    <w:rsid w:val="006617B9"/>
    <w:rsid w:val="00662ACB"/>
    <w:rsid w:val="00664684"/>
    <w:rsid w:val="00667596"/>
    <w:rsid w:val="0067684C"/>
    <w:rsid w:val="00680016"/>
    <w:rsid w:val="006828C2"/>
    <w:rsid w:val="006828E1"/>
    <w:rsid w:val="006B3823"/>
    <w:rsid w:val="006B6B4E"/>
    <w:rsid w:val="006D4E34"/>
    <w:rsid w:val="006E0D9F"/>
    <w:rsid w:val="006E2EDA"/>
    <w:rsid w:val="006F068A"/>
    <w:rsid w:val="006F394C"/>
    <w:rsid w:val="006F7BCB"/>
    <w:rsid w:val="00701EE3"/>
    <w:rsid w:val="007032FC"/>
    <w:rsid w:val="00703F91"/>
    <w:rsid w:val="0072367A"/>
    <w:rsid w:val="0073266C"/>
    <w:rsid w:val="00745F2B"/>
    <w:rsid w:val="00756A7D"/>
    <w:rsid w:val="00760A6F"/>
    <w:rsid w:val="00763DF2"/>
    <w:rsid w:val="00770FAE"/>
    <w:rsid w:val="007A4EB4"/>
    <w:rsid w:val="007B5916"/>
    <w:rsid w:val="007B7D8C"/>
    <w:rsid w:val="007C0060"/>
    <w:rsid w:val="007C4343"/>
    <w:rsid w:val="007D0464"/>
    <w:rsid w:val="007E2116"/>
    <w:rsid w:val="007F364B"/>
    <w:rsid w:val="007F37E1"/>
    <w:rsid w:val="007F446A"/>
    <w:rsid w:val="007F6A3B"/>
    <w:rsid w:val="007F7E70"/>
    <w:rsid w:val="0081475B"/>
    <w:rsid w:val="00825C51"/>
    <w:rsid w:val="00843ED7"/>
    <w:rsid w:val="00855DAA"/>
    <w:rsid w:val="008568E7"/>
    <w:rsid w:val="008A7AC2"/>
    <w:rsid w:val="008B4C6E"/>
    <w:rsid w:val="008D0D36"/>
    <w:rsid w:val="008D513C"/>
    <w:rsid w:val="008F1B15"/>
    <w:rsid w:val="008F4674"/>
    <w:rsid w:val="009176A8"/>
    <w:rsid w:val="00923650"/>
    <w:rsid w:val="009263B3"/>
    <w:rsid w:val="009339FB"/>
    <w:rsid w:val="00943E33"/>
    <w:rsid w:val="00961AF4"/>
    <w:rsid w:val="00971B19"/>
    <w:rsid w:val="00994A7D"/>
    <w:rsid w:val="009A0E64"/>
    <w:rsid w:val="009A6BA8"/>
    <w:rsid w:val="009B099A"/>
    <w:rsid w:val="009B0CC8"/>
    <w:rsid w:val="009B5B48"/>
    <w:rsid w:val="009D574C"/>
    <w:rsid w:val="00A007A3"/>
    <w:rsid w:val="00A05D06"/>
    <w:rsid w:val="00A26109"/>
    <w:rsid w:val="00A41606"/>
    <w:rsid w:val="00A4303D"/>
    <w:rsid w:val="00A80FD5"/>
    <w:rsid w:val="00A90278"/>
    <w:rsid w:val="00AA36A0"/>
    <w:rsid w:val="00AB3F5B"/>
    <w:rsid w:val="00AE1F39"/>
    <w:rsid w:val="00B1376C"/>
    <w:rsid w:val="00B15CAB"/>
    <w:rsid w:val="00B17294"/>
    <w:rsid w:val="00B36836"/>
    <w:rsid w:val="00B407CE"/>
    <w:rsid w:val="00B419A8"/>
    <w:rsid w:val="00B45551"/>
    <w:rsid w:val="00B45F74"/>
    <w:rsid w:val="00B471E0"/>
    <w:rsid w:val="00B677D6"/>
    <w:rsid w:val="00B72E84"/>
    <w:rsid w:val="00B82C3A"/>
    <w:rsid w:val="00B83218"/>
    <w:rsid w:val="00B8354F"/>
    <w:rsid w:val="00B90734"/>
    <w:rsid w:val="00B943A1"/>
    <w:rsid w:val="00BA3821"/>
    <w:rsid w:val="00BB0C21"/>
    <w:rsid w:val="00BB77FD"/>
    <w:rsid w:val="00BE197E"/>
    <w:rsid w:val="00BE446C"/>
    <w:rsid w:val="00BE7580"/>
    <w:rsid w:val="00BF4A6E"/>
    <w:rsid w:val="00BF5DC7"/>
    <w:rsid w:val="00C11BA5"/>
    <w:rsid w:val="00C15836"/>
    <w:rsid w:val="00C216AE"/>
    <w:rsid w:val="00C22ABC"/>
    <w:rsid w:val="00C2744F"/>
    <w:rsid w:val="00C27BEC"/>
    <w:rsid w:val="00C3147F"/>
    <w:rsid w:val="00C54B82"/>
    <w:rsid w:val="00C74972"/>
    <w:rsid w:val="00C75B25"/>
    <w:rsid w:val="00C77833"/>
    <w:rsid w:val="00C877BC"/>
    <w:rsid w:val="00C94307"/>
    <w:rsid w:val="00CA0FA5"/>
    <w:rsid w:val="00CC2182"/>
    <w:rsid w:val="00CC254B"/>
    <w:rsid w:val="00CC5EEB"/>
    <w:rsid w:val="00CD37B6"/>
    <w:rsid w:val="00D00C8A"/>
    <w:rsid w:val="00D27928"/>
    <w:rsid w:val="00D336F3"/>
    <w:rsid w:val="00D423F2"/>
    <w:rsid w:val="00D536FB"/>
    <w:rsid w:val="00D5433E"/>
    <w:rsid w:val="00D7676F"/>
    <w:rsid w:val="00D85F01"/>
    <w:rsid w:val="00DA5349"/>
    <w:rsid w:val="00DB3238"/>
    <w:rsid w:val="00DD496E"/>
    <w:rsid w:val="00DE4C9A"/>
    <w:rsid w:val="00DE7C5E"/>
    <w:rsid w:val="00DF0922"/>
    <w:rsid w:val="00DF1550"/>
    <w:rsid w:val="00DF7519"/>
    <w:rsid w:val="00E14426"/>
    <w:rsid w:val="00E16D88"/>
    <w:rsid w:val="00E21567"/>
    <w:rsid w:val="00E22B28"/>
    <w:rsid w:val="00E54216"/>
    <w:rsid w:val="00E54D33"/>
    <w:rsid w:val="00E64B4A"/>
    <w:rsid w:val="00E71774"/>
    <w:rsid w:val="00E773DA"/>
    <w:rsid w:val="00E91B43"/>
    <w:rsid w:val="00EA5EE2"/>
    <w:rsid w:val="00EB2295"/>
    <w:rsid w:val="00EB2F3E"/>
    <w:rsid w:val="00EB469E"/>
    <w:rsid w:val="00EC0B59"/>
    <w:rsid w:val="00EC70F2"/>
    <w:rsid w:val="00EF6ADF"/>
    <w:rsid w:val="00F0084F"/>
    <w:rsid w:val="00F03F15"/>
    <w:rsid w:val="00F07EED"/>
    <w:rsid w:val="00F24B02"/>
    <w:rsid w:val="00F46B02"/>
    <w:rsid w:val="00F51BE0"/>
    <w:rsid w:val="00F8578E"/>
    <w:rsid w:val="00FA677A"/>
    <w:rsid w:val="00FB4CFF"/>
    <w:rsid w:val="00FD3033"/>
    <w:rsid w:val="00FD3C5C"/>
    <w:rsid w:val="00FD624D"/>
    <w:rsid w:val="00FD6828"/>
    <w:rsid w:val="00FE21DD"/>
    <w:rsid w:val="00FE7876"/>
    <w:rsid w:val="00FF5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D7C5"/>
  <w15:chartTrackingRefBased/>
  <w15:docId w15:val="{7FEB416D-4860-49BB-BA8D-3833451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39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9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Fishawack</dc:creator>
  <cp:keywords/>
  <dc:description/>
  <cp:lastModifiedBy>Patel, Sonam Kajal</cp:lastModifiedBy>
  <cp:revision>2</cp:revision>
  <dcterms:created xsi:type="dcterms:W3CDTF">2019-11-04T02:23:00Z</dcterms:created>
  <dcterms:modified xsi:type="dcterms:W3CDTF">2019-11-04T02:23:00Z</dcterms:modified>
</cp:coreProperties>
</file>