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r>
        <w:t xml:space="preserve">ORIGINAL RESEARCH   </w:t>
      </w:r>
    </w:p>
    <w:p>
      <w:pPr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S</w:t>
      </w:r>
      <w:r>
        <w:rPr>
          <w:b/>
          <w:lang w:eastAsia="zh-CN"/>
        </w:rPr>
        <w:t>uppl</w:t>
      </w:r>
      <w:r>
        <w:rPr>
          <w:rFonts w:hint="eastAsia"/>
          <w:b/>
          <w:lang w:val="en-US" w:eastAsia="zh-CN"/>
        </w:rPr>
        <w:t>e</w:t>
      </w:r>
      <w:r>
        <w:rPr>
          <w:b/>
          <w:lang w:eastAsia="zh-CN"/>
        </w:rPr>
        <w:t>mentary materials</w:t>
      </w:r>
    </w:p>
    <w:p>
      <w:pPr>
        <w:pStyle w:val="2"/>
        <w:jc w:val="both"/>
      </w:pPr>
      <w:r>
        <w:t>Multifunctional immunoliposomes combining catalase and PD-L1 antibodies overcome tumor hypoxia and enhance immunotherapeutic effects against melanoma</w:t>
      </w:r>
    </w:p>
    <w:p>
      <w:pPr>
        <w:jc w:val="both"/>
      </w:pPr>
      <w:r>
        <w:t>Y</w:t>
      </w:r>
      <w:r>
        <w:rPr>
          <w:rFonts w:hint="eastAsia"/>
          <w:lang w:eastAsia="zh-CN"/>
        </w:rPr>
        <w:t>u</w:t>
      </w:r>
      <w:r>
        <w:rPr>
          <w:lang w:eastAsia="zh-CN"/>
        </w:rPr>
        <w:t xml:space="preserve"> Hei</w:t>
      </w:r>
      <w:r>
        <w:rPr>
          <w:vertAlign w:val="superscript"/>
        </w:rPr>
        <w:t>1</w:t>
      </w:r>
      <w:r>
        <w:t xml:space="preserve">,BingHong Teng </w:t>
      </w:r>
      <w:r>
        <w:rPr>
          <w:vertAlign w:val="superscript"/>
        </w:rPr>
        <w:t>2,3</w:t>
      </w:r>
      <w:r>
        <w:t>, ZiQian Zeng</w:t>
      </w:r>
      <w:r>
        <w:rPr>
          <w:vertAlign w:val="superscript"/>
        </w:rPr>
        <w:t>2,3</w:t>
      </w:r>
      <w:r>
        <w:t>,SiQi Zhang</w:t>
      </w:r>
      <w:r>
        <w:rPr>
          <w:vertAlign w:val="superscript"/>
        </w:rPr>
        <w:t>3</w:t>
      </w:r>
      <w:r>
        <w:t>,Qian Li</w:t>
      </w:r>
      <w:r>
        <w:rPr>
          <w:vertAlign w:val="superscript"/>
        </w:rPr>
        <w:t>3</w:t>
      </w:r>
      <w:r>
        <w:t>,JiJia Pan</w:t>
      </w:r>
      <w:r>
        <w:rPr>
          <w:vertAlign w:val="superscript"/>
        </w:rPr>
        <w:t>3</w:t>
      </w:r>
      <w:r>
        <w:t>,ZuYuan Luo</w:t>
      </w:r>
      <w:r>
        <w:rPr>
          <w:vertAlign w:val="superscript"/>
        </w:rPr>
        <w:t>3</w:t>
      </w:r>
      <w:r>
        <w:t>, ChunYang Xiong</w:t>
      </w:r>
      <w:r>
        <w:rPr>
          <w:vertAlign w:val="superscript"/>
        </w:rPr>
        <w:t>1,*</w:t>
      </w:r>
      <w:r>
        <w:t>,ShiCheng Wei</w:t>
      </w:r>
      <w:r>
        <w:rPr>
          <w:vertAlign w:val="superscript"/>
        </w:rPr>
        <w:t>2,3,*</w:t>
      </w:r>
    </w:p>
    <w:p>
      <w:pPr>
        <w:jc w:val="both"/>
      </w:pPr>
    </w:p>
    <w:p>
      <w:pPr>
        <w:jc w:val="both"/>
      </w:pPr>
      <w:r>
        <w:rPr>
          <w:szCs w:val="20"/>
          <w:vertAlign w:val="superscript"/>
        </w:rPr>
        <w:t>1</w:t>
      </w:r>
      <w:r>
        <w:t xml:space="preserve"> Department of Mechanics and Engineering Science, College of Engineering, Peking University, Beijing, China;</w:t>
      </w:r>
    </w:p>
    <w:p>
      <w:pPr>
        <w:jc w:val="both"/>
      </w:pPr>
      <w:r>
        <w:rPr>
          <w:vertAlign w:val="superscript"/>
        </w:rPr>
        <w:t>2</w:t>
      </w:r>
      <w:r>
        <w:t xml:space="preserve"> Department of Oral and Maxillofacial Surgery, School and Hospital of Stomatology, Peking University, Beijing, China;</w:t>
      </w:r>
    </w:p>
    <w:p>
      <w:pPr>
        <w:jc w:val="both"/>
      </w:pPr>
      <w:r>
        <w:rPr>
          <w:vertAlign w:val="superscript"/>
        </w:rPr>
        <w:t>3</w:t>
      </w:r>
      <w:r>
        <w:t xml:space="preserve"> Laboratory of Biomaterials and Regenerative Medicine, Academy for Advanced Interdisciplinary Studies, Peking University, Beijing, China.</w:t>
      </w:r>
    </w:p>
    <w:p>
      <w:pPr>
        <w:jc w:val="both"/>
        <w:rPr>
          <w:rFonts w:cs="Arial"/>
          <w:sz w:val="22"/>
          <w:szCs w:val="22"/>
        </w:rPr>
      </w:pPr>
    </w:p>
    <w:p>
      <w:pPr>
        <w:jc w:val="both"/>
      </w:pPr>
      <w:bookmarkStart w:id="0" w:name="_Hlk15214045"/>
      <w:r>
        <w:t xml:space="preserve">*Correspondence: Prof. ChunYang Xiong </w:t>
      </w:r>
    </w:p>
    <w:p>
      <w:pPr>
        <w:jc w:val="both"/>
      </w:pPr>
      <w:r>
        <w:t xml:space="preserve">Department of Mechanics and Engineering Science, College of Engineering,Peking University, Beijing, China. </w:t>
      </w:r>
    </w:p>
    <w:p>
      <w:pPr>
        <w:jc w:val="both"/>
        <w:rPr>
          <w:lang w:val="fr-FR"/>
        </w:rPr>
      </w:pPr>
      <w:r>
        <w:rPr>
          <w:lang w:val="fr-FR"/>
        </w:rPr>
        <w:t xml:space="preserve">Tel: +86 10 62757940 </w:t>
      </w:r>
    </w:p>
    <w:p>
      <w:pPr>
        <w:jc w:val="both"/>
        <w:rPr>
          <w:lang w:val="fr-FR"/>
        </w:rPr>
      </w:pPr>
      <w:r>
        <w:rPr>
          <w:lang w:val="fr-FR"/>
        </w:rPr>
        <w:t>Email :</w:t>
      </w:r>
      <w:r>
        <w:t xml:space="preserve"> </w:t>
      </w:r>
      <w:r>
        <w:rPr>
          <w:lang w:val="fr-FR"/>
        </w:rPr>
        <w:t>cyxiong@pku.edu.cn</w:t>
      </w:r>
    </w:p>
    <w:bookmarkEnd w:id="0"/>
    <w:p>
      <w:pPr>
        <w:jc w:val="both"/>
        <w:rPr>
          <w:lang w:val="fr-FR"/>
        </w:rPr>
      </w:pPr>
    </w:p>
    <w:p>
      <w:pPr>
        <w:jc w:val="both"/>
        <w:rPr>
          <w:lang w:val="fr-FR"/>
        </w:rPr>
      </w:pPr>
      <w:r>
        <w:rPr>
          <w:lang w:val="fr-FR"/>
        </w:rPr>
        <w:t>*Correspondence: Prof. ShiCheng Wei</w:t>
      </w:r>
    </w:p>
    <w:p>
      <w:pPr>
        <w:jc w:val="both"/>
        <w:rPr>
          <w:lang w:val="fr-FR"/>
        </w:rPr>
      </w:pPr>
      <w:r>
        <w:rPr>
          <w:lang w:val="fr-FR"/>
        </w:rPr>
        <w:t xml:space="preserve">Department of Oral and Maxillofacial Surgery, School and Hospital of Stomatology, Peking University,  Beijing, China </w:t>
      </w:r>
    </w:p>
    <w:p>
      <w:pPr>
        <w:jc w:val="both"/>
        <w:rPr>
          <w:lang w:val="fr-FR"/>
        </w:rPr>
      </w:pPr>
      <w:r>
        <w:rPr>
          <w:lang w:val="fr-FR"/>
        </w:rPr>
        <w:t>Tel: +86 10 82195780</w:t>
      </w:r>
    </w:p>
    <w:p>
      <w:pPr>
        <w:jc w:val="both"/>
        <w:rPr>
          <w:lang w:val="fr-FR"/>
        </w:rPr>
      </w:pPr>
      <w:r>
        <w:rPr>
          <w:lang w:val="fr-FR"/>
        </w:rPr>
        <w:t xml:space="preserve">Email : </w:t>
      </w:r>
      <w:r>
        <w:fldChar w:fldCharType="begin"/>
      </w:r>
      <w:r>
        <w:instrText xml:space="preserve"> HYPERLINK "mailto:sc-wei@pku.edu.cn" </w:instrText>
      </w:r>
      <w:r>
        <w:fldChar w:fldCharType="separate"/>
      </w:r>
      <w:r>
        <w:rPr>
          <w:rStyle w:val="7"/>
          <w:lang w:val="fr-FR"/>
        </w:rPr>
        <w:t>sc-wei@pku.edu.cn</w:t>
      </w:r>
      <w:r>
        <w:rPr>
          <w:rStyle w:val="7"/>
          <w:lang w:val="fr-FR"/>
        </w:rPr>
        <w:fldChar w:fldCharType="end"/>
      </w:r>
    </w:p>
    <w:p>
      <w:pPr>
        <w:jc w:val="both"/>
        <w:rPr>
          <w:lang w:val="fr-FR"/>
        </w:rPr>
      </w:pPr>
    </w:p>
    <w:p>
      <w:pPr>
        <w:rPr>
          <w:lang w:val="fr-FR"/>
        </w:rPr>
      </w:pPr>
      <w:r>
        <w:drawing>
          <wp:inline distT="0" distB="0" distL="0" distR="0">
            <wp:extent cx="5238750" cy="61194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189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18"/>
          <w:lang w:val="fr-FR"/>
        </w:rPr>
      </w:pPr>
      <w:r>
        <w:rPr>
          <w:b/>
          <w:sz w:val="18"/>
        </w:rPr>
        <w:t>Figure</w:t>
      </w:r>
      <w:r>
        <w:rPr>
          <w:b/>
          <w:sz w:val="18"/>
          <w:lang w:val="fr-FR"/>
        </w:rPr>
        <w:t xml:space="preserve"> S1</w:t>
      </w:r>
      <w:r>
        <w:rPr>
          <w:sz w:val="18"/>
          <w:lang w:val="fr-FR"/>
        </w:rPr>
        <w:t>. X-ray photoelectron spectra and N1s peaks of different groups.</w:t>
      </w:r>
    </w:p>
    <w:p>
      <w:pPr>
        <w:jc w:val="both"/>
        <w:rPr>
          <w:sz w:val="18"/>
          <w:lang w:val="fr-FR"/>
        </w:rPr>
      </w:pPr>
      <w:r>
        <w:rPr>
          <w:b/>
          <w:sz w:val="18"/>
          <w:lang w:val="fr-FR"/>
        </w:rPr>
        <w:t xml:space="preserve">Notes : </w:t>
      </w:r>
      <w:r>
        <w:rPr>
          <w:sz w:val="18"/>
          <w:lang w:val="fr-FR"/>
        </w:rPr>
        <w:t>(A) DSPE-PEG2000 and aPDL1. (B) DSPE-PEG2000-NHS and aPDL1.</w:t>
      </w:r>
    </w:p>
    <w:p>
      <w:pPr>
        <w:jc w:val="both"/>
        <w:rPr>
          <w:sz w:val="18"/>
          <w:lang w:val="fr-FR"/>
        </w:rPr>
      </w:pPr>
      <w:r>
        <w:rPr>
          <w:b/>
          <w:sz w:val="18"/>
          <w:lang w:val="fr-FR"/>
        </w:rPr>
        <w:t>Abbreviations:</w:t>
      </w:r>
      <w:r>
        <w:rPr>
          <w:sz w:val="18"/>
          <w:lang w:val="fr-FR"/>
        </w:rPr>
        <w:t xml:space="preserve"> aPDL1, programmed death ligand 1 monoclonal antibody; DSPE-PEG2000, Distearoylphosphatidylethanoloamine-methoxy-polyethylene glycol MW:2000; DSPE-PEG2000-NHS,</w:t>
      </w:r>
      <w:r>
        <w:t xml:space="preserve"> </w:t>
      </w:r>
      <w:r>
        <w:rPr>
          <w:sz w:val="18"/>
          <w:lang w:val="fr-FR"/>
        </w:rPr>
        <w:t>1,2-distearoyl-sn-glycero-3-phosphoethanolamine-N- [succinimidyl(polyethylene glycol)]</w:t>
      </w:r>
    </w:p>
    <w:p>
      <w:pPr>
        <w:jc w:val="both"/>
        <w:rPr>
          <w:sz w:val="18"/>
          <w:lang w:val="fr-FR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419100</wp:posOffset>
            </wp:positionV>
            <wp:extent cx="6120130" cy="1518920"/>
            <wp:effectExtent l="0" t="0" r="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5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sz w:val="18"/>
          <w:lang w:val="fr-FR"/>
        </w:rPr>
      </w:pPr>
    </w:p>
    <w:p>
      <w:pPr>
        <w:jc w:val="both"/>
        <w:rPr>
          <w:sz w:val="18"/>
          <w:lang w:val="fr-FR"/>
        </w:rPr>
      </w:pPr>
      <w:bookmarkStart w:id="1" w:name="_Hlk15586935"/>
      <w:r>
        <w:rPr>
          <w:b/>
          <w:sz w:val="18"/>
        </w:rPr>
        <w:t>Figure</w:t>
      </w:r>
      <w:r>
        <w:rPr>
          <w:b/>
          <w:sz w:val="18"/>
          <w:lang w:val="fr-FR"/>
        </w:rPr>
        <w:t xml:space="preserve"> S2 A,B</w:t>
      </w:r>
      <w:r>
        <w:rPr>
          <w:sz w:val="18"/>
          <w:lang w:val="fr-FR"/>
        </w:rPr>
        <w:t xml:space="preserve"> O</w:t>
      </w:r>
      <w:r>
        <w:rPr>
          <w:sz w:val="18"/>
          <w:vertAlign w:val="subscript"/>
          <w:lang w:val="fr-FR"/>
        </w:rPr>
        <w:t>2</w:t>
      </w:r>
      <w:r>
        <w:rPr>
          <w:sz w:val="18"/>
          <w:lang w:val="fr-FR"/>
        </w:rPr>
        <w:t xml:space="preserve"> production by free CAT and CAT@aPDL1-SSLs in H</w:t>
      </w:r>
      <w:r>
        <w:rPr>
          <w:sz w:val="18"/>
          <w:vertAlign w:val="subscript"/>
          <w:lang w:val="fr-FR"/>
        </w:rPr>
        <w:t>2</w:t>
      </w:r>
      <w:r>
        <w:rPr>
          <w:sz w:val="18"/>
          <w:lang w:val="fr-FR"/>
        </w:rPr>
        <w:t>O</w:t>
      </w:r>
      <w:r>
        <w:rPr>
          <w:sz w:val="18"/>
          <w:vertAlign w:val="subscript"/>
          <w:lang w:val="fr-FR"/>
        </w:rPr>
        <w:t>2</w:t>
      </w:r>
      <w:r>
        <w:rPr>
          <w:sz w:val="18"/>
          <w:lang w:val="fr-FR"/>
        </w:rPr>
        <w:t xml:space="preserve"> solution under different conditions.</w:t>
      </w:r>
    </w:p>
    <w:p>
      <w:pPr>
        <w:jc w:val="both"/>
        <w:rPr>
          <w:sz w:val="18"/>
          <w:lang w:val="fr-FR" w:eastAsia="zh-CN"/>
        </w:rPr>
      </w:pPr>
      <w:r>
        <w:rPr>
          <w:b/>
          <w:sz w:val="18"/>
          <w:lang w:val="fr-FR" w:eastAsia="zh-CN"/>
        </w:rPr>
        <w:t xml:space="preserve">Abbreviations : </w:t>
      </w:r>
      <w:r>
        <w:rPr>
          <w:sz w:val="18"/>
          <w:lang w:val="fr-FR" w:eastAsia="zh-CN"/>
        </w:rPr>
        <w:t>CAT, catalase; CAT@a</w:t>
      </w:r>
      <w:bookmarkEnd w:id="1"/>
      <w:r>
        <w:rPr>
          <w:sz w:val="18"/>
          <w:lang w:val="fr-FR" w:eastAsia="zh-CN"/>
        </w:rPr>
        <w:t>PDL1-SSLs ,CAT-loaded immunoliposomes.</w:t>
      </w:r>
    </w:p>
    <w:p>
      <w:pPr>
        <w:jc w:val="both"/>
        <w:rPr>
          <w:sz w:val="18"/>
          <w:lang w:val="fr-FR" w:eastAsia="zh-CN"/>
        </w:rPr>
      </w:pPr>
      <w:r>
        <w:rPr>
          <w:sz w:val="18"/>
          <w:lang w:val="fr-FR" w:eastAsia="zh-CN"/>
        </w:rPr>
        <w:drawing>
          <wp:inline distT="0" distB="0" distL="114300" distR="114300">
            <wp:extent cx="5272405" cy="3482975"/>
            <wp:effectExtent l="0" t="0" r="4445" b="3175"/>
            <wp:docPr id="3" name="图片 3" descr="补充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补充6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Arial" w:hAnsi="Arial"/>
          <w:sz w:val="18"/>
          <w:lang w:val="fr-FR"/>
        </w:rPr>
      </w:pPr>
      <w:r>
        <w:rPr>
          <w:rFonts w:ascii="Arial" w:hAnsi="Arial"/>
          <w:b/>
          <w:sz w:val="18"/>
        </w:rPr>
        <w:t>Figure</w:t>
      </w:r>
      <w:r>
        <w:rPr>
          <w:rFonts w:ascii="Arial" w:hAnsi="Arial"/>
          <w:b/>
          <w:sz w:val="18"/>
          <w:lang w:val="fr-FR"/>
        </w:rPr>
        <w:t xml:space="preserve"> S</w:t>
      </w:r>
      <w:r>
        <w:rPr>
          <w:rFonts w:hint="eastAsia" w:ascii="Arial" w:hAnsi="Arial"/>
          <w:b/>
          <w:sz w:val="18"/>
          <w:lang w:val="en-US" w:eastAsia="zh-CN"/>
        </w:rPr>
        <w:t>3</w:t>
      </w:r>
      <w:r>
        <w:rPr>
          <w:rFonts w:ascii="Arial" w:hAnsi="Arial"/>
          <w:b/>
          <w:sz w:val="18"/>
          <w:lang w:val="fr-FR"/>
        </w:rPr>
        <w:t xml:space="preserve"> A,B</w:t>
      </w:r>
      <w:r>
        <w:rPr>
          <w:rFonts w:ascii="Arial" w:hAnsi="Arial"/>
          <w:sz w:val="18"/>
          <w:lang w:val="fr-FR"/>
        </w:rPr>
        <w:t xml:space="preserve"> </w:t>
      </w:r>
      <w:r>
        <w:rPr>
          <w:rFonts w:hint="eastAsia" w:ascii="Arial" w:hAnsi="Arial"/>
          <w:sz w:val="18"/>
          <w:lang w:val="fr-FR"/>
        </w:rPr>
        <w:t>Effects of control (PBS), aPDL1-SSLs, CAT@SSLs, and CAT@aPDL1-SSLs on tumor hypoxia status.</w:t>
      </w:r>
    </w:p>
    <w:p>
      <w:pPr>
        <w:jc w:val="both"/>
        <w:rPr>
          <w:rFonts w:hint="default" w:ascii="Arial" w:hAnsi="Arial" w:eastAsia="等线"/>
          <w:sz w:val="18"/>
          <w:lang w:val="en-US" w:eastAsia="zh-CN"/>
        </w:rPr>
      </w:pPr>
      <w:r>
        <w:rPr>
          <w:rFonts w:hint="eastAsia" w:ascii="Arial" w:hAnsi="Arial"/>
          <w:b/>
          <w:bCs/>
          <w:sz w:val="18"/>
          <w:lang w:val="en-US" w:eastAsia="zh-CN"/>
        </w:rPr>
        <w:t>Notes:</w:t>
      </w:r>
      <w:r>
        <w:rPr>
          <w:rFonts w:hint="eastAsia" w:ascii="Arial" w:hAnsi="Arial"/>
          <w:sz w:val="18"/>
          <w:lang w:val="en-US" w:eastAsia="zh-CN"/>
        </w:rPr>
        <w:t>(A) Immunofluorescence images of tumor slices harvested from B16-F10 tumor-bearing mice following intravenous injection with four different formulations. The blue signals represent nuclei stained by DAPI and the red signals represent</w:t>
      </w:r>
      <w:r>
        <w:rPr>
          <w:rFonts w:hint="default" w:ascii="Arial" w:hAnsi="Arial" w:cs="Arial"/>
          <w:sz w:val="18"/>
          <w:lang w:val="en-US" w:eastAsia="zh-CN"/>
        </w:rPr>
        <w:t xml:space="preserve"> HIF</w:t>
      </w:r>
      <w:r>
        <w:rPr>
          <w:rFonts w:hint="eastAsia" w:cs="Arial"/>
          <w:sz w:val="18"/>
          <w:lang w:val="en-US" w:eastAsia="zh-CN"/>
        </w:rPr>
        <w:t>-1</w:t>
      </w:r>
      <w:r>
        <w:rPr>
          <w:rFonts w:hint="default" w:ascii="Arial" w:hAnsi="Arial" w:cs="Arial"/>
          <w:sz w:val="18"/>
          <w:lang w:val="en-US" w:eastAsia="zh-CN"/>
        </w:rPr>
        <w:t>α protein</w:t>
      </w:r>
      <w:r>
        <w:rPr>
          <w:rFonts w:hint="eastAsia" w:ascii="Arial" w:hAnsi="Arial"/>
          <w:sz w:val="18"/>
          <w:lang w:val="en-US" w:eastAsia="zh-CN"/>
        </w:rPr>
        <w:t xml:space="preserve"> stained by </w:t>
      </w:r>
      <w:r>
        <w:rPr>
          <w:rFonts w:hint="default" w:ascii="Arial" w:hAnsi="Arial" w:cs="Arial"/>
          <w:sz w:val="18"/>
          <w:lang w:val="en-US" w:eastAsia="zh-CN"/>
        </w:rPr>
        <w:t>anti-HIF-1α antibody</w:t>
      </w:r>
      <w:r>
        <w:rPr>
          <w:rFonts w:hint="eastAsia" w:ascii="Arial" w:hAnsi="Arial"/>
          <w:sz w:val="18"/>
          <w:lang w:val="en-US" w:eastAsia="zh-CN"/>
        </w:rPr>
        <w:t>, respectively. (B) The quantitative results of HIF-1α positive areas analyzed using Image</w:t>
      </w:r>
      <w:r>
        <w:rPr>
          <w:rFonts w:hint="eastAsia"/>
          <w:sz w:val="18"/>
          <w:lang w:val="en-US" w:eastAsia="zh-CN"/>
        </w:rPr>
        <w:t xml:space="preserve"> </w:t>
      </w:r>
      <w:r>
        <w:rPr>
          <w:rFonts w:hint="eastAsia" w:ascii="Arial" w:hAnsi="Arial"/>
          <w:sz w:val="18"/>
          <w:lang w:val="en-US" w:eastAsia="zh-CN"/>
        </w:rPr>
        <w:t>J software based on the images shown in (A). (n = 3, results are means ± S.D. ,Scale bar: 100 μm,</w:t>
      </w:r>
      <w:r>
        <w:rPr>
          <w:sz w:val="18"/>
          <w:szCs w:val="18"/>
        </w:rPr>
        <w:t>* P &lt; 0.05</w:t>
      </w:r>
      <w:r>
        <w:rPr>
          <w:rFonts w:hint="eastAsia" w:ascii="Arial" w:hAnsi="Arial"/>
          <w:sz w:val="18"/>
          <w:lang w:val="en-US" w:eastAsia="zh-CN"/>
        </w:rPr>
        <w:t>)</w:t>
      </w:r>
    </w:p>
    <w:p>
      <w:pPr>
        <w:jc w:val="both"/>
        <w:rPr>
          <w:rFonts w:hint="eastAsia"/>
          <w:sz w:val="18"/>
          <w:lang w:val="fr-FR" w:eastAsia="zh-CN"/>
        </w:rPr>
      </w:pPr>
      <w:r>
        <w:rPr>
          <w:rFonts w:ascii="Arial" w:hAnsi="Arial"/>
          <w:b/>
          <w:sz w:val="18"/>
          <w:lang w:val="fr-FR" w:eastAsia="zh-CN"/>
        </w:rPr>
        <w:t xml:space="preserve">Abbreviations : </w:t>
      </w:r>
      <w:r>
        <w:rPr>
          <w:rFonts w:hint="eastAsia"/>
          <w:sz w:val="18"/>
          <w:lang w:val="fr-FR" w:eastAsia="zh-CN"/>
        </w:rPr>
        <w:t>aPDL1, programmed death ligand 1 monoclonal antibody; CAT, catalase; SSL, sterically stabilized liposome; aPDL1-SSLs, aPDL1 modified immunoliposomes; CAT@aPDL1-SSLs, CAT-loaded  immunoliposomes.</w:t>
      </w:r>
    </w:p>
    <w:p>
      <w:pPr>
        <w:jc w:val="both"/>
        <w:rPr>
          <w:rFonts w:hint="eastAsia"/>
          <w:sz w:val="18"/>
          <w:lang w:val="fr-FR" w:eastAsia="zh-CN"/>
        </w:rPr>
      </w:pPr>
      <w:r>
        <w:rPr>
          <w:rFonts w:hint="eastAsia"/>
          <w:sz w:val="18"/>
          <w:lang w:val="fr-FR" w:eastAsia="zh-CN"/>
        </w:rPr>
        <w:drawing>
          <wp:inline distT="0" distB="0" distL="114300" distR="114300">
            <wp:extent cx="5272405" cy="3793490"/>
            <wp:effectExtent l="0" t="0" r="4445" b="16510"/>
            <wp:docPr id="4" name="图片 4" descr="补充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补充7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Arial" w:hAnsi="Arial"/>
          <w:sz w:val="18"/>
          <w:lang w:val="fr-FR"/>
        </w:rPr>
      </w:pPr>
      <w:r>
        <w:rPr>
          <w:rFonts w:ascii="Arial" w:hAnsi="Arial"/>
          <w:b/>
          <w:sz w:val="18"/>
        </w:rPr>
        <w:t>Figure</w:t>
      </w:r>
      <w:r>
        <w:rPr>
          <w:rFonts w:ascii="Arial" w:hAnsi="Arial"/>
          <w:b/>
          <w:sz w:val="18"/>
          <w:lang w:val="fr-FR"/>
        </w:rPr>
        <w:t xml:space="preserve"> S</w:t>
      </w:r>
      <w:r>
        <w:rPr>
          <w:rFonts w:hint="eastAsia" w:ascii="Arial" w:hAnsi="Arial"/>
          <w:b/>
          <w:sz w:val="18"/>
          <w:lang w:val="en-US" w:eastAsia="zh-CN"/>
        </w:rPr>
        <w:t xml:space="preserve">4 </w:t>
      </w:r>
      <w:r>
        <w:rPr>
          <w:rFonts w:hint="eastAsia" w:ascii="Arial" w:hAnsi="Arial"/>
          <w:b/>
          <w:bCs/>
          <w:sz w:val="18"/>
          <w:lang w:val="en-US" w:eastAsia="zh-CN"/>
        </w:rPr>
        <w:t>A-</w:t>
      </w:r>
      <w:r>
        <w:rPr>
          <w:rFonts w:hint="eastAsia"/>
          <w:b/>
          <w:bCs/>
          <w:sz w:val="18"/>
          <w:lang w:val="en-US" w:eastAsia="zh-CN"/>
        </w:rPr>
        <w:t>E</w:t>
      </w:r>
      <w:r>
        <w:rPr>
          <w:rFonts w:hint="eastAsia" w:ascii="Arial" w:hAnsi="Arial"/>
          <w:b/>
          <w:bCs/>
          <w:sz w:val="18"/>
          <w:lang w:val="en-US" w:eastAsia="zh-CN"/>
        </w:rPr>
        <w:t>.</w:t>
      </w:r>
      <w:r>
        <w:rPr>
          <w:rFonts w:hint="eastAsia" w:ascii="Arial" w:hAnsi="Arial"/>
          <w:b/>
          <w:bCs/>
          <w:sz w:val="18"/>
          <w:lang w:val="fr-FR"/>
        </w:rPr>
        <w:t xml:space="preserve"> </w:t>
      </w:r>
      <w:r>
        <w:rPr>
          <w:rFonts w:hint="eastAsia" w:ascii="Arial" w:hAnsi="Arial"/>
          <w:sz w:val="18"/>
          <w:lang w:val="fr-FR"/>
        </w:rPr>
        <w:t>Flow cytometry analysis of CD8</w:t>
      </w:r>
      <w:r>
        <w:rPr>
          <w:rFonts w:hint="eastAsia" w:ascii="Arial" w:hAnsi="Arial"/>
          <w:sz w:val="18"/>
          <w:vertAlign w:val="superscript"/>
          <w:lang w:val="fr-FR"/>
        </w:rPr>
        <w:t>+</w:t>
      </w:r>
      <w:r>
        <w:rPr>
          <w:rFonts w:hint="eastAsia" w:ascii="Arial" w:hAnsi="Arial"/>
          <w:sz w:val="18"/>
          <w:lang w:val="fr-FR"/>
        </w:rPr>
        <w:t xml:space="preserve"> and CD4</w:t>
      </w:r>
      <w:r>
        <w:rPr>
          <w:rFonts w:hint="eastAsia" w:ascii="Arial" w:hAnsi="Arial"/>
          <w:sz w:val="18"/>
          <w:vertAlign w:val="superscript"/>
          <w:lang w:val="fr-FR"/>
        </w:rPr>
        <w:t>+</w:t>
      </w:r>
      <w:r>
        <w:rPr>
          <w:rFonts w:hint="eastAsia" w:ascii="Arial" w:hAnsi="Arial"/>
          <w:sz w:val="18"/>
          <w:lang w:val="fr-FR"/>
        </w:rPr>
        <w:t xml:space="preserve"> tumor infiltrating T</w:t>
      </w:r>
      <w:r>
        <w:rPr>
          <w:rFonts w:hint="eastAsia"/>
          <w:sz w:val="18"/>
          <w:lang w:val="en-US" w:eastAsia="zh-CN"/>
        </w:rPr>
        <w:t xml:space="preserve"> </w:t>
      </w:r>
      <w:r>
        <w:rPr>
          <w:rFonts w:hint="eastAsia" w:ascii="Arial" w:hAnsi="Arial"/>
          <w:sz w:val="18"/>
          <w:lang w:val="fr-FR"/>
        </w:rPr>
        <w:t>cell</w:t>
      </w:r>
      <w:r>
        <w:rPr>
          <w:rFonts w:hint="eastAsia"/>
          <w:sz w:val="18"/>
          <w:lang w:val="en-US" w:eastAsia="zh-CN"/>
        </w:rPr>
        <w:t>s</w:t>
      </w:r>
      <w:r>
        <w:rPr>
          <w:rFonts w:hint="eastAsia" w:ascii="Arial" w:hAnsi="Arial"/>
          <w:sz w:val="18"/>
          <w:lang w:val="en-US" w:eastAsia="zh-CN"/>
        </w:rPr>
        <w:t>.</w:t>
      </w:r>
      <w:r>
        <w:rPr>
          <w:rFonts w:hint="eastAsia" w:ascii="Arial" w:hAnsi="Arial"/>
          <w:sz w:val="18"/>
          <w:lang w:val="fr-FR"/>
        </w:rPr>
        <w:t xml:space="preserve"> </w:t>
      </w:r>
    </w:p>
    <w:p>
      <w:pPr>
        <w:jc w:val="both"/>
        <w:rPr>
          <w:rFonts w:hint="eastAsia" w:ascii="Arial" w:hAnsi="Arial"/>
          <w:sz w:val="18"/>
          <w:lang w:val="fr-FR" w:eastAsia="zh-CN"/>
        </w:rPr>
      </w:pPr>
      <w:r>
        <w:rPr>
          <w:rFonts w:ascii="Arial" w:hAnsi="Arial"/>
          <w:b/>
          <w:sz w:val="18"/>
          <w:lang w:val="fr-FR" w:eastAsia="zh-CN"/>
        </w:rPr>
        <w:t xml:space="preserve">Abbreviations : </w:t>
      </w:r>
      <w:r>
        <w:rPr>
          <w:rFonts w:hint="eastAsia" w:ascii="Arial" w:hAnsi="Arial"/>
          <w:sz w:val="18"/>
          <w:lang w:val="fr-FR" w:eastAsia="zh-CN"/>
        </w:rPr>
        <w:t>aPDL1, programmed death ligand 1 monoclonal antibody; CAT, catalase; SSL, sterically stabilized liposome; aPDL1-SSLs, aPDL1 modified immunoliposomes; CAT@aPDL1-SSLs, CAT-loaded  immunoliposomes.</w:t>
      </w:r>
    </w:p>
    <w:p>
      <w:pPr>
        <w:jc w:val="both"/>
        <w:rPr>
          <w:rFonts w:hint="eastAsia"/>
          <w:sz w:val="18"/>
          <w:lang w:val="fr-FR" w:eastAsia="zh-CN"/>
        </w:rPr>
      </w:pPr>
    </w:p>
    <w:p>
      <w:pPr>
        <w:jc w:val="both"/>
        <w:rPr>
          <w:sz w:val="18"/>
          <w:lang w:eastAsia="zh-CN"/>
        </w:rPr>
      </w:pPr>
    </w:p>
    <w:p>
      <w:pPr>
        <w:jc w:val="both"/>
        <w:rPr>
          <w:sz w:val="18"/>
          <w:lang w:eastAsia="zh-CN"/>
        </w:rPr>
      </w:pPr>
    </w:p>
    <w:p>
      <w:pPr>
        <w:jc w:val="both"/>
        <w:rPr>
          <w:sz w:val="18"/>
          <w:lang w:eastAsia="zh-CN"/>
        </w:rPr>
      </w:pPr>
    </w:p>
    <w:p>
      <w:pPr>
        <w:jc w:val="both"/>
        <w:rPr>
          <w:sz w:val="18"/>
          <w:lang w:eastAsia="zh-CN"/>
        </w:rPr>
      </w:pPr>
    </w:p>
    <w:p>
      <w:pPr>
        <w:jc w:val="both"/>
        <w:rPr>
          <w:sz w:val="18"/>
          <w:lang w:eastAsia="zh-CN"/>
        </w:rPr>
      </w:pPr>
    </w:p>
    <w:p>
      <w:pPr>
        <w:jc w:val="both"/>
        <w:rPr>
          <w:sz w:val="18"/>
          <w:lang w:eastAsia="zh-CN"/>
        </w:rPr>
      </w:pPr>
    </w:p>
    <w:p>
      <w:pPr>
        <w:jc w:val="both"/>
        <w:rPr>
          <w:sz w:val="18"/>
          <w:lang w:eastAsia="zh-CN"/>
        </w:rPr>
      </w:pPr>
    </w:p>
    <w:p>
      <w:pPr>
        <w:jc w:val="both"/>
        <w:rPr>
          <w:sz w:val="18"/>
          <w:lang w:eastAsia="zh-CN"/>
        </w:rPr>
      </w:pPr>
      <w:bookmarkStart w:id="2" w:name="_GoBack"/>
      <w:bookmarkEnd w:id="2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98881689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8AF"/>
    <w:rsid w:val="00201E51"/>
    <w:rsid w:val="003206CC"/>
    <w:rsid w:val="00381D38"/>
    <w:rsid w:val="005019A8"/>
    <w:rsid w:val="00542349"/>
    <w:rsid w:val="005A78AF"/>
    <w:rsid w:val="00984F12"/>
    <w:rsid w:val="00BC7C15"/>
    <w:rsid w:val="03750332"/>
    <w:rsid w:val="0B853A24"/>
    <w:rsid w:val="16BA55B2"/>
    <w:rsid w:val="1CDC6B8E"/>
    <w:rsid w:val="369403D0"/>
    <w:rsid w:val="37654A9E"/>
    <w:rsid w:val="38B32EA7"/>
    <w:rsid w:val="3C660E89"/>
    <w:rsid w:val="4672363E"/>
    <w:rsid w:val="4C971844"/>
    <w:rsid w:val="562109DD"/>
    <w:rsid w:val="5CE62FD2"/>
    <w:rsid w:val="5E5A353B"/>
    <w:rsid w:val="5E776439"/>
    <w:rsid w:val="5F5D7DBC"/>
    <w:rsid w:val="62842237"/>
    <w:rsid w:val="67F879FB"/>
    <w:rsid w:val="74DC7C0B"/>
    <w:rsid w:val="79EB1F33"/>
    <w:rsid w:val="7A887716"/>
    <w:rsid w:val="7B2D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80" w:lineRule="auto"/>
    </w:pPr>
    <w:rPr>
      <w:rFonts w:ascii="Arial" w:hAnsi="Arial" w:eastAsia="等线" w:cs="Times New Roman"/>
      <w:kern w:val="0"/>
      <w:sz w:val="20"/>
      <w:szCs w:val="24"/>
      <w:lang w:val="en-US" w:eastAsia="en-US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标题 1 字符"/>
    <w:basedOn w:val="6"/>
    <w:link w:val="2"/>
    <w:qFormat/>
    <w:uiPriority w:val="0"/>
    <w:rPr>
      <w:rFonts w:ascii="Arial" w:hAnsi="Arial" w:eastAsia="等线" w:cs="Arial"/>
      <w:b/>
      <w:bCs/>
      <w:kern w:val="32"/>
      <w:sz w:val="32"/>
      <w:szCs w:val="32"/>
      <w:lang w:eastAsia="en-US"/>
    </w:rPr>
  </w:style>
  <w:style w:type="character" w:customStyle="1" w:styleId="9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6"/>
    <w:link w:val="4"/>
    <w:qFormat/>
    <w:uiPriority w:val="99"/>
    <w:rPr>
      <w:rFonts w:ascii="Arial" w:hAnsi="Arial" w:eastAsia="等线" w:cs="Times New Roman"/>
      <w:kern w:val="0"/>
      <w:sz w:val="18"/>
      <w:szCs w:val="18"/>
      <w:lang w:eastAsia="en-US"/>
    </w:rPr>
  </w:style>
  <w:style w:type="character" w:customStyle="1" w:styleId="11">
    <w:name w:val="页脚 字符"/>
    <w:basedOn w:val="6"/>
    <w:link w:val="3"/>
    <w:qFormat/>
    <w:uiPriority w:val="99"/>
    <w:rPr>
      <w:rFonts w:ascii="Arial" w:hAnsi="Arial" w:eastAsia="等线" w:cs="Times New Roman"/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jpe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303</Words>
  <Characters>1728</Characters>
  <Lines>14</Lines>
  <Paragraphs>4</Paragraphs>
  <TotalTime>38</TotalTime>
  <ScaleCrop>false</ScaleCrop>
  <LinksUpToDate>false</LinksUpToDate>
  <CharactersWithSpaces>2027</CharactersWithSpaces>
  <Application>WPS Office_11.1.0.8515_F1E327BC-269C-435d-A152-05C5408002CA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2019-08-01T13:05:00Z</dcterms:created>
  <dc:creator>hei yu</dc:creator>
  <cp:lastModifiedBy>*竹韵潇潇*</cp:lastModifiedBy>
  <dcterms:modified xsi:type="dcterms:W3CDTF">2019-12-12T01:41:37Z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