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" ContentType="image/tiff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20D9B2B" w14:textId="6288138B" w:rsidR="003933C7" w:rsidRDefault="00D73DB7" w:rsidP="00D73DB7">
      <w:pPr>
        <w:spacing w:after="0"/>
        <w:jc w:val="left"/>
        <w:rPr>
          <w:b/>
          <w:bCs/>
        </w:rPr>
      </w:pPr>
      <w:r w:rsidRPr="00AE0DC0">
        <w:rPr>
          <w:b/>
          <w:bCs/>
        </w:rPr>
        <w:t>Supplementary Information</w:t>
      </w:r>
    </w:p>
    <w:p w14:paraId="76881512" w14:textId="1E3FDDFD" w:rsidR="003933C7" w:rsidRDefault="003933C7" w:rsidP="00D73DB7">
      <w:pPr>
        <w:spacing w:after="0"/>
        <w:jc w:val="left"/>
        <w:rPr>
          <w:b/>
          <w:bCs/>
        </w:rPr>
      </w:pPr>
    </w:p>
    <w:p w14:paraId="1333F2AD" w14:textId="489812B9" w:rsidR="003933C7" w:rsidRDefault="003933C7" w:rsidP="00D73DB7">
      <w:pPr>
        <w:spacing w:after="0"/>
        <w:jc w:val="left"/>
        <w:rPr>
          <w:b/>
          <w:bCs/>
        </w:rPr>
      </w:pPr>
      <w:r w:rsidRPr="00F9343F">
        <w:rPr>
          <w:noProof/>
        </w:rPr>
        <w:drawing>
          <wp:inline distT="0" distB="0" distL="0" distR="0" wp14:anchorId="32A45DAD" wp14:editId="66AA74C9">
            <wp:extent cx="3017520" cy="2651947"/>
            <wp:effectExtent l="0" t="0" r="0" b="0"/>
            <wp:docPr id="34" name="Picture 18">
              <a:extLst xmlns:a="http://schemas.openxmlformats.org/drawingml/2006/main">
                <a:ext uri="{FF2B5EF4-FFF2-40B4-BE49-F238E27FC236}">
                  <a16:creationId xmlns:a16="http://schemas.microsoft.com/office/drawing/2014/main" id="{917B61F7-30D0-459C-AAE1-D162C8A0F35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8">
                      <a:extLst>
                        <a:ext uri="{FF2B5EF4-FFF2-40B4-BE49-F238E27FC236}">
                          <a16:creationId xmlns:a16="http://schemas.microsoft.com/office/drawing/2014/main" id="{917B61F7-30D0-459C-AAE1-D162C8A0F35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4"/>
                    <a:srcRect l="25343" t="23832" r="1072"/>
                    <a:stretch/>
                  </pic:blipFill>
                  <pic:spPr>
                    <a:xfrm>
                      <a:off x="0" y="0"/>
                      <a:ext cx="3017520" cy="2651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D47B39" w14:textId="77777777" w:rsidR="003933C7" w:rsidRDefault="003933C7" w:rsidP="003933C7">
      <w:pPr>
        <w:rPr>
          <w:b/>
          <w:bCs/>
        </w:rPr>
      </w:pPr>
    </w:p>
    <w:p w14:paraId="027B2070" w14:textId="7A8E41CB" w:rsidR="003933C7" w:rsidRDefault="003933C7" w:rsidP="003933C7">
      <w:r w:rsidRPr="00AE0DC0">
        <w:rPr>
          <w:b/>
          <w:bCs/>
        </w:rPr>
        <w:t>Supplem</w:t>
      </w:r>
      <w:r>
        <w:rPr>
          <w:b/>
          <w:bCs/>
        </w:rPr>
        <w:t>en</w:t>
      </w:r>
      <w:r w:rsidRPr="00AE0DC0">
        <w:rPr>
          <w:b/>
          <w:bCs/>
        </w:rPr>
        <w:t xml:space="preserve">tary Figure </w:t>
      </w:r>
      <w:r>
        <w:rPr>
          <w:b/>
          <w:bCs/>
        </w:rPr>
        <w:t>1</w:t>
      </w:r>
      <w:r>
        <w:t xml:space="preserve">. Experimental setup for formulating LCP. </w:t>
      </w:r>
    </w:p>
    <w:p w14:paraId="6A3B3FBA" w14:textId="77777777" w:rsidR="003933C7" w:rsidRDefault="003933C7" w:rsidP="003933C7"/>
    <w:p w14:paraId="13D567EB" w14:textId="77777777" w:rsidR="003933C7" w:rsidRPr="00AE0DC0" w:rsidRDefault="003933C7" w:rsidP="00D73DB7">
      <w:pPr>
        <w:spacing w:after="0"/>
        <w:jc w:val="left"/>
        <w:rPr>
          <w:b/>
          <w:bCs/>
        </w:rPr>
      </w:pPr>
    </w:p>
    <w:p w14:paraId="302EFDCE" w14:textId="77777777" w:rsidR="00D73DB7" w:rsidRDefault="00D73DB7" w:rsidP="00D73DB7">
      <w:r>
        <w:rPr>
          <w:noProof/>
        </w:rPr>
        <w:drawing>
          <wp:inline distT="0" distB="0" distL="0" distR="0" wp14:anchorId="2DEE7451" wp14:editId="2FF10CF6">
            <wp:extent cx="6035597" cy="2568777"/>
            <wp:effectExtent l="0" t="0" r="3810" b="317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2697" cy="2576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5CB90F8" w14:textId="28C997FF" w:rsidR="00D73DB7" w:rsidRPr="00E0628D" w:rsidRDefault="00D73DB7" w:rsidP="00D73DB7">
      <w:r w:rsidRPr="00F923E5">
        <w:rPr>
          <w:b/>
          <w:bCs/>
        </w:rPr>
        <w:t xml:space="preserve">Supplementary Figure </w:t>
      </w:r>
      <w:r w:rsidR="003933C7">
        <w:rPr>
          <w:b/>
          <w:bCs/>
        </w:rPr>
        <w:t>2</w:t>
      </w:r>
      <w:r w:rsidRPr="00F923E5">
        <w:rPr>
          <w:b/>
          <w:bCs/>
        </w:rPr>
        <w:t>.</w:t>
      </w:r>
      <w:r>
        <w:t xml:space="preserve"> Comparing effect of flow mixing and bulk mixing on particle size distribution. For flow mixing, polyplex and LCP were </w:t>
      </w:r>
      <w:r w:rsidRPr="006B0FF6">
        <w:t xml:space="preserve">prepared </w:t>
      </w:r>
      <w:r>
        <w:t xml:space="preserve">using the fluidics channel at a N/P ratio of 10 and using 4 mM lipid mixture, respectively. For bulk mixing, polyplex were prepared by mixing 1mL of </w:t>
      </w:r>
      <w:r w:rsidRPr="006B0FF6">
        <w:t xml:space="preserve">60 µg plasmid </w:t>
      </w:r>
      <w:r>
        <w:t xml:space="preserve">to 1 mL of </w:t>
      </w:r>
      <w:r w:rsidRPr="006B0FF6">
        <w:t>CD</w:t>
      </w:r>
      <w:r>
        <w:rPr>
          <w:vertAlign w:val="subscript"/>
        </w:rPr>
        <w:t>2.5kD</w:t>
      </w:r>
      <w:r w:rsidRPr="006B0FF6">
        <w:t>-PEI in 20mM HEPES buffer at</w:t>
      </w:r>
      <w:r>
        <w:t xml:space="preserve"> a N/P ratio of 10 in a glass vial, followed by brief </w:t>
      </w:r>
      <w:proofErr w:type="spellStart"/>
      <w:r>
        <w:t>vortexing</w:t>
      </w:r>
      <w:proofErr w:type="spellEnd"/>
      <w:r>
        <w:t xml:space="preserve"> of 30 seconds. Lipid coating was performed using lipid film hydration method where the polyplex solution was added to a dried lipid film developed by evaporating 1mL of 4mM lipid mixture in a round bottom flask followed by hydration of 30 mins and </w:t>
      </w:r>
      <w:proofErr w:type="spellStart"/>
      <w:r>
        <w:t>vortexing</w:t>
      </w:r>
      <w:proofErr w:type="spellEnd"/>
      <w:r>
        <w:t xml:space="preserve"> for 2 min. </w:t>
      </w:r>
    </w:p>
    <w:p w14:paraId="3D85385C" w14:textId="77777777" w:rsidR="00D73DB7" w:rsidRDefault="00D73DB7" w:rsidP="00D73DB7">
      <w:pPr>
        <w:rPr>
          <w:b/>
        </w:rPr>
      </w:pPr>
      <w:r>
        <w:rPr>
          <w:b/>
          <w:noProof/>
        </w:rPr>
        <w:lastRenderedPageBreak/>
        <w:drawing>
          <wp:inline distT="0" distB="0" distL="0" distR="0" wp14:anchorId="4D8B026C" wp14:editId="68E8C6E4">
            <wp:extent cx="6035040" cy="2881474"/>
            <wp:effectExtent l="0" t="0" r="381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Fig7-2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5040" cy="2881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CFF917" w14:textId="12BAB0EC" w:rsidR="00D73DB7" w:rsidRDefault="00D73DB7" w:rsidP="00D73DB7">
      <w:r w:rsidRPr="00F923E5">
        <w:rPr>
          <w:b/>
          <w:bCs/>
        </w:rPr>
        <w:t xml:space="preserve">Supplementary Figure </w:t>
      </w:r>
      <w:r w:rsidR="003933C7">
        <w:rPr>
          <w:b/>
          <w:bCs/>
        </w:rPr>
        <w:t>3</w:t>
      </w:r>
      <w:r w:rsidRPr="0037723C">
        <w:rPr>
          <w:b/>
        </w:rPr>
        <w:t>.</w:t>
      </w:r>
      <w:r w:rsidRPr="00756618">
        <w:t xml:space="preserve"> Negative </w:t>
      </w:r>
      <w:r>
        <w:t>s</w:t>
      </w:r>
      <w:r w:rsidRPr="00756618">
        <w:t xml:space="preserve">tain TEM </w:t>
      </w:r>
      <w:r>
        <w:t>i</w:t>
      </w:r>
      <w:r w:rsidRPr="00756618">
        <w:t>mage</w:t>
      </w:r>
      <w:r>
        <w:t>s</w:t>
      </w:r>
      <w:r w:rsidRPr="00756618">
        <w:t xml:space="preserve"> of </w:t>
      </w:r>
      <w:r>
        <w:t>(</w:t>
      </w:r>
      <w:r w:rsidRPr="0037723C">
        <w:rPr>
          <w:b/>
        </w:rPr>
        <w:t>A</w:t>
      </w:r>
      <w:r>
        <w:t>) Polyplex</w:t>
      </w:r>
      <w:r w:rsidRPr="00756618">
        <w:t xml:space="preserve"> and</w:t>
      </w:r>
      <w:r>
        <w:t xml:space="preserve"> (</w:t>
      </w:r>
      <w:r w:rsidRPr="0037723C">
        <w:rPr>
          <w:b/>
        </w:rPr>
        <w:t>B</w:t>
      </w:r>
      <w:r>
        <w:t>) LCP</w:t>
      </w:r>
      <w:r w:rsidRPr="00756618">
        <w:t>. P</w:t>
      </w:r>
      <w:r>
        <w:t>o</w:t>
      </w:r>
      <w:r w:rsidRPr="00756618">
        <w:t xml:space="preserve">lyplex were made </w:t>
      </w:r>
      <w:r>
        <w:t xml:space="preserve">using </w:t>
      </w:r>
      <w:r w:rsidRPr="00756618">
        <w:t>N/P ratio of 10</w:t>
      </w:r>
      <w:r>
        <w:t>;</w:t>
      </w:r>
      <w:r w:rsidRPr="00756618">
        <w:t xml:space="preserve"> </w:t>
      </w:r>
      <w:r>
        <w:t xml:space="preserve">LCP were </w:t>
      </w:r>
      <w:r w:rsidRPr="00756618">
        <w:t xml:space="preserve">coated with 4 mM </w:t>
      </w:r>
      <w:r>
        <w:t>l</w:t>
      </w:r>
      <w:r w:rsidRPr="00756618">
        <w:t>ipid solution (</w:t>
      </w:r>
      <w:proofErr w:type="gramStart"/>
      <w:r w:rsidRPr="00756618">
        <w:rPr>
          <w:color w:val="000000" w:themeColor="text1"/>
        </w:rPr>
        <w:t>CHEMS:</w:t>
      </w:r>
      <w:r>
        <w:rPr>
          <w:color w:val="000000" w:themeColor="text1"/>
        </w:rPr>
        <w:t>DOPE</w:t>
      </w:r>
      <w:proofErr w:type="gramEnd"/>
      <w:r>
        <w:rPr>
          <w:color w:val="000000" w:themeColor="text1"/>
        </w:rPr>
        <w:t>:</w:t>
      </w:r>
      <w:r w:rsidRPr="00756618">
        <w:rPr>
          <w:color w:val="000000" w:themeColor="text1"/>
        </w:rPr>
        <w:t>DSPC:DSPE-mPEG</w:t>
      </w:r>
      <w:r w:rsidRPr="00756618">
        <w:rPr>
          <w:color w:val="000000" w:themeColor="text1"/>
          <w:vertAlign w:val="subscript"/>
        </w:rPr>
        <w:t xml:space="preserve">2k </w:t>
      </w:r>
      <w:r>
        <w:rPr>
          <w:color w:val="000000" w:themeColor="text1"/>
        </w:rPr>
        <w:t xml:space="preserve">= </w:t>
      </w:r>
      <w:r w:rsidRPr="00756618">
        <w:rPr>
          <w:color w:val="000000" w:themeColor="text1"/>
        </w:rPr>
        <w:t>34:54:1</w:t>
      </w:r>
      <w:r>
        <w:rPr>
          <w:color w:val="000000" w:themeColor="text1"/>
        </w:rPr>
        <w:t>0</w:t>
      </w:r>
      <w:r w:rsidRPr="00756618">
        <w:rPr>
          <w:color w:val="000000" w:themeColor="text1"/>
        </w:rPr>
        <w:t>:2</w:t>
      </w:r>
      <w:r w:rsidRPr="00756618">
        <w:t>)</w:t>
      </w:r>
    </w:p>
    <w:p w14:paraId="5793AEC3" w14:textId="77777777" w:rsidR="00D73DB7" w:rsidRDefault="00D73DB7" w:rsidP="00D73DB7"/>
    <w:p w14:paraId="57A44CA6" w14:textId="77777777" w:rsidR="00D73DB7" w:rsidRPr="00F71ED9" w:rsidRDefault="00D73DB7" w:rsidP="00D73DB7"/>
    <w:p w14:paraId="551D6607" w14:textId="0252F5CA" w:rsidR="00D73DB7" w:rsidRDefault="006554AB" w:rsidP="00D73DB7">
      <w:r>
        <w:rPr>
          <w:noProof/>
        </w:rPr>
        <w:drawing>
          <wp:inline distT="0" distB="0" distL="0" distR="0" wp14:anchorId="6992EA9A" wp14:editId="5A5DA02C">
            <wp:extent cx="3017520" cy="2137642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66" t="11117" r="9912" b="11408"/>
                    <a:stretch/>
                  </pic:blipFill>
                  <pic:spPr bwMode="auto">
                    <a:xfrm>
                      <a:off x="0" y="0"/>
                      <a:ext cx="3017520" cy="2137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DFFFB2" w14:textId="75C92F78" w:rsidR="00D73DB7" w:rsidRDefault="00D73DB7" w:rsidP="00D73DB7">
      <w:pPr>
        <w:spacing w:line="480" w:lineRule="auto"/>
      </w:pPr>
      <w:r w:rsidRPr="00F923E5">
        <w:rPr>
          <w:b/>
          <w:bCs/>
        </w:rPr>
        <w:t xml:space="preserve">Supplementary Figure </w:t>
      </w:r>
      <w:r w:rsidR="003933C7">
        <w:rPr>
          <w:b/>
          <w:bCs/>
        </w:rPr>
        <w:t>4</w:t>
      </w:r>
      <w:r w:rsidRPr="00F923E5">
        <w:rPr>
          <w:b/>
          <w:bCs/>
        </w:rPr>
        <w:t>.</w:t>
      </w:r>
      <w:r>
        <w:rPr>
          <w:b/>
          <w:bCs/>
        </w:rPr>
        <w:t xml:space="preserve"> </w:t>
      </w:r>
      <w:r w:rsidRPr="00F923E5">
        <w:t>Effect of heparin concentration on polyplex dissociation. Polyplex</w:t>
      </w:r>
      <w:r>
        <w:t xml:space="preserve"> (N/P 10)</w:t>
      </w:r>
      <w:r w:rsidRPr="00F923E5">
        <w:t xml:space="preserve"> were incubated with different concentrations of heparin sul</w:t>
      </w:r>
      <w:r>
        <w:t>f</w:t>
      </w:r>
      <w:r w:rsidRPr="00F923E5">
        <w:t xml:space="preserve">ate solution in 20 mM HEPES for 30 min at 25 </w:t>
      </w:r>
      <w:r w:rsidRPr="00F923E5">
        <w:rPr>
          <w:rFonts w:cs="Times"/>
        </w:rPr>
        <w:t>º</w:t>
      </w:r>
      <w:r w:rsidRPr="00F923E5">
        <w:t>C</w:t>
      </w:r>
      <w:r>
        <w:t xml:space="preserve"> followed by evaluation of </w:t>
      </w:r>
      <w:proofErr w:type="spellStart"/>
      <w:r>
        <w:t>pDNA</w:t>
      </w:r>
      <w:proofErr w:type="spellEnd"/>
      <w:r>
        <w:t xml:space="preserve"> release using the </w:t>
      </w:r>
      <w:proofErr w:type="spellStart"/>
      <w:r>
        <w:t>PicoGreen</w:t>
      </w:r>
      <w:r>
        <w:rPr>
          <w:vertAlign w:val="superscript"/>
        </w:rPr>
        <w:t>TM</w:t>
      </w:r>
      <w:proofErr w:type="spellEnd"/>
      <w:r>
        <w:t xml:space="preserve"> assay.</w:t>
      </w:r>
    </w:p>
    <w:p w14:paraId="236131BF" w14:textId="77777777" w:rsidR="00D73DB7" w:rsidRDefault="00D73DB7" w:rsidP="00D73DB7"/>
    <w:p w14:paraId="62BE3D4F" w14:textId="32317070" w:rsidR="00D73DB7" w:rsidRDefault="00E37F02" w:rsidP="00D73DB7">
      <w:r>
        <w:rPr>
          <w:noProof/>
        </w:rPr>
        <w:lastRenderedPageBreak/>
        <w:drawing>
          <wp:inline distT="0" distB="0" distL="0" distR="0" wp14:anchorId="1AFD55DA" wp14:editId="3AABCF77">
            <wp:extent cx="6035040" cy="1908516"/>
            <wp:effectExtent l="0" t="0" r="381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211" b="31624"/>
                    <a:stretch/>
                  </pic:blipFill>
                  <pic:spPr bwMode="auto">
                    <a:xfrm>
                      <a:off x="0" y="0"/>
                      <a:ext cx="6035040" cy="1908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42E022" w14:textId="20213369" w:rsidR="00D73DB7" w:rsidRPr="00304DD4" w:rsidRDefault="00D73DB7" w:rsidP="00D73DB7">
      <w:pPr>
        <w:spacing w:line="480" w:lineRule="auto"/>
      </w:pPr>
      <w:r w:rsidRPr="000A2543">
        <w:rPr>
          <w:b/>
          <w:bCs/>
        </w:rPr>
        <w:t xml:space="preserve">Supplementary Figure </w:t>
      </w:r>
      <w:r w:rsidR="003933C7">
        <w:rPr>
          <w:b/>
          <w:bCs/>
        </w:rPr>
        <w:t>5</w:t>
      </w:r>
      <w:r>
        <w:t>. Encapsulation (</w:t>
      </w:r>
      <w:r w:rsidRPr="000E668A">
        <w:rPr>
          <w:b/>
        </w:rPr>
        <w:t>A</w:t>
      </w:r>
      <w:r>
        <w:t>) and loading efficiency (</w:t>
      </w:r>
      <w:r w:rsidRPr="000E668A">
        <w:rPr>
          <w:b/>
        </w:rPr>
        <w:t>B</w:t>
      </w:r>
      <w:r>
        <w:t>) of curcumin. Curcumin content was quantified by monitoring absorbance of curcumin containing samples at 425 nm using a plate reader.</w:t>
      </w:r>
    </w:p>
    <w:p w14:paraId="1B9D496D" w14:textId="77777777" w:rsidR="00D73DB7" w:rsidRPr="00304DD4" w:rsidRDefault="00D73DB7" w:rsidP="00D73DB7"/>
    <w:p w14:paraId="7C16A29A" w14:textId="77777777" w:rsidR="00D73DB7" w:rsidRDefault="00D73DB7" w:rsidP="00D73DB7">
      <w:r>
        <w:rPr>
          <w:noProof/>
        </w:rPr>
        <w:drawing>
          <wp:inline distT="0" distB="0" distL="0" distR="0" wp14:anchorId="4266B5B2" wp14:editId="79553704">
            <wp:extent cx="3017520" cy="2578608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fig 11.png.ti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7520" cy="2578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840221" w14:textId="203FD750" w:rsidR="00F06D12" w:rsidRDefault="00D73DB7" w:rsidP="007B4B72">
      <w:pPr>
        <w:pStyle w:val="VAFigureCaption"/>
      </w:pPr>
      <w:r>
        <w:rPr>
          <w:b/>
        </w:rPr>
        <w:t>Supplementary Figure</w:t>
      </w:r>
      <w:r w:rsidRPr="000611D1">
        <w:rPr>
          <w:b/>
        </w:rPr>
        <w:t xml:space="preserve"> </w:t>
      </w:r>
      <w:r w:rsidR="003933C7">
        <w:rPr>
          <w:b/>
        </w:rPr>
        <w:t>6</w:t>
      </w:r>
      <w:r w:rsidRPr="000611D1">
        <w:rPr>
          <w:b/>
        </w:rPr>
        <w:t>.</w:t>
      </w:r>
      <w:r w:rsidRPr="00E55C23">
        <w:t xml:space="preserve"> Cytotoxicity analysis of LCP formulations. MB49 cells were treated with different LCP formulations for 4 h followed by washing to remove uninternalized particles. The </w:t>
      </w:r>
      <w:r>
        <w:t>cells</w:t>
      </w:r>
      <w:r w:rsidRPr="00E55C23">
        <w:t xml:space="preserve"> were incubated </w:t>
      </w:r>
      <w:r>
        <w:t xml:space="preserve">for </w:t>
      </w:r>
      <w:r w:rsidRPr="00E55C23">
        <w:t>another 24 h before adding the MTS reagent. After incubating for 1 h</w:t>
      </w:r>
      <w:r>
        <w:t>,</w:t>
      </w:r>
      <w:r w:rsidRPr="00E55C23">
        <w:t xml:space="preserve"> the </w:t>
      </w:r>
      <w:r w:rsidRPr="00610384">
        <w:t>absorbance of</w:t>
      </w:r>
      <w:r w:rsidRPr="00E55C23">
        <w:t xml:space="preserve"> soluble formazan formed due to </w:t>
      </w:r>
      <w:r>
        <w:t>bio-</w:t>
      </w:r>
      <w:r w:rsidRPr="00E55C23">
        <w:t xml:space="preserve">reduction of MTS </w:t>
      </w:r>
      <w:r>
        <w:t xml:space="preserve">by the live MB49 cell population </w:t>
      </w:r>
      <w:r w:rsidRPr="00E55C23">
        <w:t>was measure</w:t>
      </w:r>
      <w:r>
        <w:t>d</w:t>
      </w:r>
      <w:r w:rsidRPr="00E55C23">
        <w:t xml:space="preserve"> at 490 nm. </w:t>
      </w:r>
      <w:r>
        <w:t xml:space="preserve">All treatments for each formulation was performed in triplicate and error bars represent standard deviations of the mean (n=3).  </w:t>
      </w:r>
      <w:bookmarkStart w:id="0" w:name="_GoBack"/>
      <w:bookmarkEnd w:id="0"/>
    </w:p>
    <w:sectPr w:rsidR="00F06D1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3DB7"/>
    <w:rsid w:val="001B0CB6"/>
    <w:rsid w:val="003933C7"/>
    <w:rsid w:val="00401276"/>
    <w:rsid w:val="004220EA"/>
    <w:rsid w:val="004B2173"/>
    <w:rsid w:val="006554AB"/>
    <w:rsid w:val="007B4B72"/>
    <w:rsid w:val="008B43CF"/>
    <w:rsid w:val="008D4395"/>
    <w:rsid w:val="008E4E72"/>
    <w:rsid w:val="00D73DB7"/>
    <w:rsid w:val="00E37F02"/>
    <w:rsid w:val="00F953E5"/>
    <w:rsid w:val="00FF22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2F21CC"/>
  <w15:chartTrackingRefBased/>
  <w15:docId w15:val="{920DF909-1856-4E6B-A97E-C5B9049100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D73DB7"/>
    <w:pPr>
      <w:spacing w:after="200" w:line="240" w:lineRule="auto"/>
      <w:jc w:val="both"/>
    </w:pPr>
    <w:rPr>
      <w:rFonts w:ascii="Times" w:eastAsia="Times New Roman" w:hAnsi="Times" w:cs="Times New Roman"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VAFigureCaption">
    <w:name w:val="VA_Figure_Caption"/>
    <w:basedOn w:val="Normal"/>
    <w:next w:val="Normal"/>
    <w:rsid w:val="00D73DB7"/>
    <w:pPr>
      <w:spacing w:line="48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303</Words>
  <Characters>1728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Shayak Samaddar</dc:creator>
  <cp:keywords/>
  <dc:description/>
  <cp:lastModifiedBy>Shayak Samaddar</cp:lastModifiedBy>
  <cp:revision>6</cp:revision>
  <dcterms:created xsi:type="dcterms:W3CDTF">2019-09-20T02:39:00Z</dcterms:created>
  <dcterms:modified xsi:type="dcterms:W3CDTF">2019-09-20T02:54:00Z</dcterms:modified>
</cp:coreProperties>
</file>