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9AB" w:rsidRPr="003B03A2" w:rsidRDefault="00D849AB" w:rsidP="00D849AB">
      <w:pPr>
        <w:widowControl w:val="0"/>
        <w:rPr>
          <w:rFonts w:cs="Arial"/>
          <w:szCs w:val="20"/>
        </w:rPr>
      </w:pPr>
      <w:r w:rsidRPr="003B03A2">
        <w:rPr>
          <w:rFonts w:cs="Arial"/>
          <w:b/>
          <w:bCs/>
          <w:szCs w:val="20"/>
        </w:rPr>
        <w:t>S</w:t>
      </w:r>
      <w:r w:rsidRPr="003B03A2">
        <w:rPr>
          <w:rFonts w:cs="Arial"/>
          <w:b/>
          <w:bCs/>
          <w:szCs w:val="20"/>
          <w:lang w:eastAsia="zh-CN"/>
        </w:rPr>
        <w:t>-</w:t>
      </w:r>
      <w:r w:rsidRPr="003B03A2">
        <w:rPr>
          <w:rFonts w:cs="Arial"/>
          <w:b/>
          <w:bCs/>
          <w:szCs w:val="20"/>
        </w:rPr>
        <w:t>Table 1</w:t>
      </w:r>
      <w:r w:rsidRPr="003B03A2">
        <w:rPr>
          <w:rFonts w:cs="Arial"/>
          <w:szCs w:val="20"/>
        </w:rPr>
        <w:t xml:space="preserve"> The relative risk and their 95% conﬁdence intervals of extreme and moderate cold effects on AECOPD hospitalizations over lag 30 days by sex and age </w:t>
      </w:r>
      <w:r w:rsidRPr="003B03A2">
        <w:rPr>
          <w:rFonts w:cs="Arial"/>
          <w:szCs w:val="20"/>
          <w:lang w:eastAsia="zh-CN"/>
        </w:rPr>
        <w:t>gr</w:t>
      </w:r>
      <w:r w:rsidRPr="003B03A2">
        <w:rPr>
          <w:rFonts w:cs="Arial"/>
          <w:szCs w:val="20"/>
        </w:rPr>
        <w:t xml:space="preserve">oups. 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64"/>
        <w:gridCol w:w="1824"/>
        <w:gridCol w:w="1906"/>
        <w:gridCol w:w="1824"/>
        <w:gridCol w:w="1988"/>
      </w:tblGrid>
      <w:tr w:rsidR="00D849AB" w:rsidRPr="003B03A2" w:rsidTr="00517333">
        <w:trPr>
          <w:trHeight w:val="504"/>
          <w:jc w:val="center"/>
        </w:trPr>
        <w:tc>
          <w:tcPr>
            <w:tcW w:w="0" w:type="auto"/>
            <w:noWrap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Mean temperature(</w:t>
            </w:r>
            <w:r w:rsidRPr="003B03A2">
              <w:rPr>
                <w:rFonts w:ascii="宋体" w:eastAsia="宋体" w:hAnsi="宋体" w:cs="宋体" w:hint="eastAsia"/>
                <w:szCs w:val="20"/>
              </w:rPr>
              <w:t>℃</w:t>
            </w:r>
            <w:r w:rsidRPr="003B03A2">
              <w:rPr>
                <w:rFonts w:cs="Arial"/>
                <w:szCs w:val="20"/>
              </w:rPr>
              <w:t>)</w:t>
            </w:r>
          </w:p>
        </w:tc>
        <w:tc>
          <w:tcPr>
            <w:tcW w:w="0" w:type="auto"/>
            <w:gridSpan w:val="2"/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Apparent temperature(</w:t>
            </w:r>
            <w:r w:rsidRPr="003B03A2">
              <w:rPr>
                <w:rFonts w:ascii="宋体" w:eastAsia="宋体" w:hAnsi="宋体" w:cs="宋体" w:hint="eastAsia"/>
                <w:szCs w:val="20"/>
              </w:rPr>
              <w:t>℃</w:t>
            </w:r>
            <w:r w:rsidRPr="003B03A2">
              <w:rPr>
                <w:rFonts w:cs="Arial"/>
                <w:szCs w:val="20"/>
              </w:rPr>
              <w:t>)</w:t>
            </w:r>
          </w:p>
        </w:tc>
      </w:tr>
      <w:tr w:rsidR="00D849AB" w:rsidRPr="003B03A2" w:rsidTr="00517333">
        <w:trPr>
          <w:trHeight w:val="504"/>
          <w:jc w:val="center"/>
        </w:trPr>
        <w:tc>
          <w:tcPr>
            <w:tcW w:w="0" w:type="auto"/>
            <w:tcBorders>
              <w:bottom w:val="single" w:sz="6" w:space="0" w:color="auto"/>
            </w:tcBorders>
            <w:noWrap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Extreme cold (95%CI)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Moderate cold (95%CI)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Extreme cold (95%CI)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 xml:space="preserve"> Moderate cold (95%CI)</w:t>
            </w:r>
          </w:p>
        </w:tc>
      </w:tr>
      <w:tr w:rsidR="00D849AB" w:rsidRPr="003B03A2" w:rsidTr="00517333">
        <w:trPr>
          <w:trHeight w:val="504"/>
          <w:jc w:val="center"/>
        </w:trPr>
        <w:tc>
          <w:tcPr>
            <w:tcW w:w="0" w:type="auto"/>
            <w:tcBorders>
              <w:top w:val="single" w:sz="6" w:space="0" w:color="auto"/>
            </w:tcBorders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1.05(1.02,1.08) *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1.03(1.00,1.06) *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1.04(1.02,1.06) *</w:t>
            </w:r>
          </w:p>
        </w:tc>
        <w:tc>
          <w:tcPr>
            <w:tcW w:w="0" w:type="auto"/>
            <w:tcBorders>
              <w:top w:val="single" w:sz="6" w:space="0" w:color="auto"/>
            </w:tcBorders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1.01(0.99,1.04)</w:t>
            </w:r>
          </w:p>
        </w:tc>
      </w:tr>
      <w:tr w:rsidR="00D849AB" w:rsidRPr="003B03A2" w:rsidTr="00517333">
        <w:trPr>
          <w:trHeight w:val="504"/>
          <w:jc w:val="center"/>
        </w:trPr>
        <w:tc>
          <w:tcPr>
            <w:tcW w:w="0" w:type="auto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Sex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</w:p>
        </w:tc>
      </w:tr>
      <w:tr w:rsidR="00D849AB" w:rsidRPr="003B03A2" w:rsidTr="00517333">
        <w:trPr>
          <w:trHeight w:val="504"/>
          <w:jc w:val="center"/>
        </w:trPr>
        <w:tc>
          <w:tcPr>
            <w:tcW w:w="0" w:type="auto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Male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1.04(1.01,1.07) *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1.02(0.99,1.05)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1.03(1.01,1.06) *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1.01(0.98,1.03)</w:t>
            </w:r>
          </w:p>
        </w:tc>
      </w:tr>
      <w:tr w:rsidR="00D849AB" w:rsidRPr="003B03A2" w:rsidTr="00517333">
        <w:trPr>
          <w:trHeight w:val="504"/>
          <w:jc w:val="center"/>
        </w:trPr>
        <w:tc>
          <w:tcPr>
            <w:tcW w:w="0" w:type="auto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Female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1.06(1.03,1.09) *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1.04(1.00,1.07) *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1.05(1.03,1.08) *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1.02(0.99,1.05)</w:t>
            </w:r>
          </w:p>
        </w:tc>
      </w:tr>
      <w:tr w:rsidR="00D849AB" w:rsidRPr="003B03A2" w:rsidTr="00517333">
        <w:trPr>
          <w:trHeight w:val="504"/>
          <w:jc w:val="center"/>
        </w:trPr>
        <w:tc>
          <w:tcPr>
            <w:tcW w:w="0" w:type="auto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Age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</w:p>
        </w:tc>
      </w:tr>
      <w:tr w:rsidR="00D849AB" w:rsidRPr="003B03A2" w:rsidTr="00517333">
        <w:trPr>
          <w:trHeight w:val="552"/>
          <w:jc w:val="center"/>
        </w:trPr>
        <w:tc>
          <w:tcPr>
            <w:tcW w:w="0" w:type="auto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＜</w:t>
            </w:r>
            <w:r w:rsidRPr="003B03A2">
              <w:rPr>
                <w:rFonts w:cs="Arial"/>
                <w:szCs w:val="20"/>
              </w:rPr>
              <w:t>65 years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1.01(0.95,1.07)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1.01(0.95,1.07)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1.05(1.02,1.08) *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1.05(1.01,1.09) *</w:t>
            </w:r>
          </w:p>
        </w:tc>
      </w:tr>
      <w:tr w:rsidR="00D849AB" w:rsidRPr="003B03A2" w:rsidTr="00517333">
        <w:trPr>
          <w:trHeight w:val="516"/>
          <w:jc w:val="center"/>
        </w:trPr>
        <w:tc>
          <w:tcPr>
            <w:tcW w:w="0" w:type="auto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≥65</w:t>
            </w:r>
          </w:p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years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1.05(1.02,1.07) *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1.02(0.99,1.05)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1.04(1.02,1.06) *</w:t>
            </w:r>
          </w:p>
        </w:tc>
        <w:tc>
          <w:tcPr>
            <w:tcW w:w="0" w:type="auto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eastAsia="Arial Unicode MS"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1.01(0.98,1.03)</w:t>
            </w:r>
          </w:p>
        </w:tc>
      </w:tr>
    </w:tbl>
    <w:p w:rsidR="00D849AB" w:rsidRPr="003B03A2" w:rsidRDefault="00D849AB" w:rsidP="00D849AB">
      <w:pPr>
        <w:ind w:firstLineChars="200" w:firstLine="400"/>
        <w:rPr>
          <w:rFonts w:cs="Arial"/>
          <w:szCs w:val="20"/>
        </w:rPr>
      </w:pPr>
      <w:r w:rsidRPr="003B03A2">
        <w:rPr>
          <w:rFonts w:cs="Arial"/>
          <w:b/>
          <w:szCs w:val="20"/>
        </w:rPr>
        <w:t>Note.</w:t>
      </w:r>
      <w:r w:rsidRPr="003B03A2">
        <w:rPr>
          <w:rFonts w:cs="Arial"/>
          <w:szCs w:val="20"/>
        </w:rPr>
        <w:t xml:space="preserve">*P&lt; 0.05; Extreme cold effect presents relative risk for per 1 °C decrease from 25th percentile temperature to 1st percentile of mean temperature and apparent temperature; Moderate cold effect presents relative risk for per 1 °C decrease from 25th percentile temperature to 10th percentile of mean temperature and apparent temperature. </w:t>
      </w:r>
    </w:p>
    <w:p w:rsidR="00D849AB" w:rsidRPr="003B03A2" w:rsidRDefault="00D849AB" w:rsidP="00D849AB">
      <w:pPr>
        <w:widowControl w:val="0"/>
        <w:rPr>
          <w:rFonts w:cs="Arial"/>
          <w:b/>
          <w:bCs/>
          <w:szCs w:val="20"/>
        </w:rPr>
      </w:pPr>
    </w:p>
    <w:p w:rsidR="00D849AB" w:rsidRPr="003B03A2" w:rsidRDefault="00D849AB" w:rsidP="00D849AB">
      <w:pPr>
        <w:widowControl w:val="0"/>
        <w:rPr>
          <w:rFonts w:cs="Arial"/>
          <w:b/>
          <w:bCs/>
          <w:szCs w:val="20"/>
        </w:rPr>
      </w:pPr>
    </w:p>
    <w:p w:rsidR="00D849AB" w:rsidRPr="003B03A2" w:rsidRDefault="00D849AB" w:rsidP="00D849AB">
      <w:pPr>
        <w:widowControl w:val="0"/>
        <w:rPr>
          <w:rFonts w:cs="Arial"/>
          <w:b/>
          <w:bCs/>
          <w:szCs w:val="20"/>
        </w:rPr>
      </w:pPr>
    </w:p>
    <w:p w:rsidR="00D849AB" w:rsidRPr="003B03A2" w:rsidRDefault="00D849AB" w:rsidP="00D849AB">
      <w:pPr>
        <w:widowControl w:val="0"/>
        <w:rPr>
          <w:rFonts w:cs="Arial"/>
          <w:szCs w:val="20"/>
        </w:rPr>
      </w:pPr>
      <w:r w:rsidRPr="003B03A2">
        <w:rPr>
          <w:rFonts w:cs="Arial"/>
          <w:b/>
          <w:bCs/>
          <w:szCs w:val="20"/>
        </w:rPr>
        <w:lastRenderedPageBreak/>
        <w:t>S</w:t>
      </w:r>
      <w:r w:rsidRPr="003B03A2">
        <w:rPr>
          <w:rFonts w:cs="Arial"/>
          <w:b/>
          <w:bCs/>
          <w:szCs w:val="20"/>
          <w:lang w:eastAsia="zh-CN"/>
        </w:rPr>
        <w:t>-</w:t>
      </w:r>
      <w:r w:rsidRPr="003B03A2">
        <w:rPr>
          <w:rFonts w:cs="Arial"/>
          <w:b/>
          <w:bCs/>
          <w:szCs w:val="20"/>
        </w:rPr>
        <w:t>Table 2</w:t>
      </w:r>
      <w:r w:rsidRPr="003B03A2">
        <w:rPr>
          <w:rFonts w:cs="Arial"/>
          <w:szCs w:val="20"/>
        </w:rPr>
        <w:t xml:space="preserve"> The cumulative relative risk and their 95% conﬁdence intervals of extreme and moderate hot effects on AECOPD hospitalizations over lag 30 days by sex and age </w:t>
      </w:r>
      <w:r w:rsidRPr="003B03A2">
        <w:rPr>
          <w:rFonts w:cs="Arial"/>
          <w:szCs w:val="20"/>
          <w:lang w:eastAsia="zh-CN"/>
        </w:rPr>
        <w:t>gr</w:t>
      </w:r>
      <w:r w:rsidRPr="003B03A2">
        <w:rPr>
          <w:rFonts w:cs="Arial"/>
          <w:szCs w:val="20"/>
        </w:rPr>
        <w:t xml:space="preserve">oups. 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88"/>
        <w:gridCol w:w="1901"/>
        <w:gridCol w:w="1901"/>
        <w:gridCol w:w="1815"/>
        <w:gridCol w:w="1901"/>
      </w:tblGrid>
      <w:tr w:rsidR="00D849AB" w:rsidRPr="003B03A2" w:rsidTr="00517333">
        <w:trPr>
          <w:trHeight w:val="516"/>
        </w:trPr>
        <w:tc>
          <w:tcPr>
            <w:tcW w:w="362" w:type="pct"/>
            <w:noWrap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2328" w:type="pct"/>
            <w:gridSpan w:val="2"/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Mean temperature(</w:t>
            </w:r>
            <w:r w:rsidRPr="003B03A2">
              <w:rPr>
                <w:rFonts w:ascii="宋体" w:eastAsia="宋体" w:hAnsi="宋体" w:cs="宋体" w:hint="eastAsia"/>
                <w:szCs w:val="20"/>
              </w:rPr>
              <w:t>℃</w:t>
            </w:r>
            <w:r w:rsidRPr="003B03A2">
              <w:rPr>
                <w:rFonts w:cs="Arial"/>
                <w:szCs w:val="20"/>
              </w:rPr>
              <w:t>)</w:t>
            </w:r>
          </w:p>
        </w:tc>
        <w:tc>
          <w:tcPr>
            <w:tcW w:w="2309" w:type="pct"/>
            <w:gridSpan w:val="2"/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Apparent temperature(</w:t>
            </w:r>
            <w:r w:rsidRPr="003B03A2">
              <w:rPr>
                <w:rFonts w:ascii="宋体" w:eastAsia="宋体" w:hAnsi="宋体" w:cs="宋体" w:hint="eastAsia"/>
                <w:szCs w:val="20"/>
              </w:rPr>
              <w:t>℃</w:t>
            </w:r>
            <w:r w:rsidRPr="003B03A2">
              <w:rPr>
                <w:rFonts w:cs="Arial"/>
                <w:szCs w:val="20"/>
              </w:rPr>
              <w:t>)</w:t>
            </w:r>
          </w:p>
        </w:tc>
      </w:tr>
      <w:tr w:rsidR="00D849AB" w:rsidRPr="003B03A2" w:rsidTr="00517333">
        <w:trPr>
          <w:trHeight w:val="504"/>
        </w:trPr>
        <w:tc>
          <w:tcPr>
            <w:tcW w:w="362" w:type="pct"/>
            <w:tcBorders>
              <w:bottom w:val="single" w:sz="6" w:space="0" w:color="auto"/>
            </w:tcBorders>
            <w:noWrap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1514" w:type="pct"/>
            <w:tcBorders>
              <w:bottom w:val="single" w:sz="6" w:space="0" w:color="auto"/>
            </w:tcBorders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 xml:space="preserve"> Extreme hot (95%CI)</w:t>
            </w:r>
          </w:p>
        </w:tc>
        <w:tc>
          <w:tcPr>
            <w:tcW w:w="814" w:type="pct"/>
            <w:tcBorders>
              <w:bottom w:val="single" w:sz="6" w:space="0" w:color="auto"/>
            </w:tcBorders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Moderate hot (95%CI)</w:t>
            </w:r>
          </w:p>
        </w:tc>
        <w:tc>
          <w:tcPr>
            <w:tcW w:w="1495" w:type="pct"/>
            <w:tcBorders>
              <w:bottom w:val="single" w:sz="6" w:space="0" w:color="auto"/>
            </w:tcBorders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Extreme hot (95%CI)</w:t>
            </w:r>
          </w:p>
        </w:tc>
        <w:tc>
          <w:tcPr>
            <w:tcW w:w="814" w:type="pct"/>
            <w:tcBorders>
              <w:bottom w:val="single" w:sz="6" w:space="0" w:color="auto"/>
            </w:tcBorders>
            <w:noWrap/>
            <w:hideMark/>
          </w:tcPr>
          <w:p w:rsidR="00D849AB" w:rsidRPr="003B03A2" w:rsidRDefault="00D849AB" w:rsidP="00517333">
            <w:pPr>
              <w:widowControl w:val="0"/>
              <w:jc w:val="center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Moderate hot (95%CI)</w:t>
            </w:r>
          </w:p>
        </w:tc>
      </w:tr>
      <w:tr w:rsidR="00D849AB" w:rsidRPr="003B03A2" w:rsidTr="00517333">
        <w:trPr>
          <w:trHeight w:val="504"/>
        </w:trPr>
        <w:tc>
          <w:tcPr>
            <w:tcW w:w="362" w:type="pct"/>
            <w:tcBorders>
              <w:top w:val="single" w:sz="6" w:space="0" w:color="auto"/>
            </w:tcBorders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Total</w:t>
            </w:r>
          </w:p>
        </w:tc>
        <w:tc>
          <w:tcPr>
            <w:tcW w:w="1514" w:type="pct"/>
            <w:tcBorders>
              <w:top w:val="single" w:sz="6" w:space="0" w:color="auto"/>
            </w:tcBorders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1.02(0.98,1.06)</w:t>
            </w:r>
          </w:p>
        </w:tc>
        <w:tc>
          <w:tcPr>
            <w:tcW w:w="814" w:type="pct"/>
            <w:tcBorders>
              <w:top w:val="single" w:sz="6" w:space="0" w:color="auto"/>
            </w:tcBorders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1.02(0.98,1.06)</w:t>
            </w:r>
          </w:p>
        </w:tc>
        <w:tc>
          <w:tcPr>
            <w:tcW w:w="1495" w:type="pct"/>
            <w:tcBorders>
              <w:top w:val="single" w:sz="6" w:space="0" w:color="auto"/>
            </w:tcBorders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1.01(0.99,1.04)</w:t>
            </w:r>
          </w:p>
        </w:tc>
        <w:tc>
          <w:tcPr>
            <w:tcW w:w="814" w:type="pct"/>
            <w:tcBorders>
              <w:top w:val="single" w:sz="6" w:space="0" w:color="auto"/>
            </w:tcBorders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1.01(0.99,1.04)</w:t>
            </w:r>
          </w:p>
        </w:tc>
      </w:tr>
      <w:tr w:rsidR="00D849AB" w:rsidRPr="003B03A2" w:rsidTr="00517333">
        <w:trPr>
          <w:trHeight w:val="504"/>
        </w:trPr>
        <w:tc>
          <w:tcPr>
            <w:tcW w:w="362" w:type="pct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Sex</w:t>
            </w:r>
          </w:p>
        </w:tc>
        <w:tc>
          <w:tcPr>
            <w:tcW w:w="15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1495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</w:tr>
      <w:tr w:rsidR="00D849AB" w:rsidRPr="003B03A2" w:rsidTr="00517333">
        <w:trPr>
          <w:trHeight w:val="504"/>
        </w:trPr>
        <w:tc>
          <w:tcPr>
            <w:tcW w:w="362" w:type="pct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Male</w:t>
            </w:r>
          </w:p>
        </w:tc>
        <w:tc>
          <w:tcPr>
            <w:tcW w:w="15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1.02(0.98,1.07)</w:t>
            </w: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1.02(0.98,1.07)</w:t>
            </w:r>
          </w:p>
        </w:tc>
        <w:tc>
          <w:tcPr>
            <w:tcW w:w="1495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1.01(0.98,1.04)</w:t>
            </w: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1.01(0.98,1.04)</w:t>
            </w:r>
          </w:p>
        </w:tc>
      </w:tr>
      <w:tr w:rsidR="00D849AB" w:rsidRPr="003B03A2" w:rsidTr="00517333">
        <w:trPr>
          <w:trHeight w:val="504"/>
        </w:trPr>
        <w:tc>
          <w:tcPr>
            <w:tcW w:w="362" w:type="pct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Female</w:t>
            </w:r>
          </w:p>
        </w:tc>
        <w:tc>
          <w:tcPr>
            <w:tcW w:w="15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1.02(0.97,1.07)</w:t>
            </w: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1.02(0.97,1.06)</w:t>
            </w:r>
          </w:p>
        </w:tc>
        <w:tc>
          <w:tcPr>
            <w:tcW w:w="1495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1.02(0.98,1.05)</w:t>
            </w: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1.01(0.98,1.05)</w:t>
            </w:r>
          </w:p>
        </w:tc>
      </w:tr>
      <w:tr w:rsidR="00D849AB" w:rsidRPr="003B03A2" w:rsidTr="00517333">
        <w:trPr>
          <w:trHeight w:val="504"/>
        </w:trPr>
        <w:tc>
          <w:tcPr>
            <w:tcW w:w="362" w:type="pct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Age</w:t>
            </w:r>
          </w:p>
        </w:tc>
        <w:tc>
          <w:tcPr>
            <w:tcW w:w="15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1495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</w:p>
        </w:tc>
      </w:tr>
      <w:tr w:rsidR="00D849AB" w:rsidRPr="003B03A2" w:rsidTr="00517333">
        <w:trPr>
          <w:trHeight w:val="552"/>
        </w:trPr>
        <w:tc>
          <w:tcPr>
            <w:tcW w:w="362" w:type="pct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＜</w:t>
            </w:r>
            <w:r w:rsidRPr="003B03A2">
              <w:rPr>
                <w:rFonts w:cs="Arial"/>
                <w:szCs w:val="20"/>
              </w:rPr>
              <w:t>65 years</w:t>
            </w:r>
          </w:p>
        </w:tc>
        <w:tc>
          <w:tcPr>
            <w:tcW w:w="15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1.06(1.01,1.11) *</w:t>
            </w: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1.05(1.01,1.10) *</w:t>
            </w:r>
          </w:p>
        </w:tc>
        <w:tc>
          <w:tcPr>
            <w:tcW w:w="1495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1.00(0.96,1.05)</w:t>
            </w: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1.00(0.96,1.04)</w:t>
            </w:r>
          </w:p>
        </w:tc>
      </w:tr>
      <w:tr w:rsidR="00D849AB" w:rsidRPr="003B03A2" w:rsidTr="00517333">
        <w:trPr>
          <w:trHeight w:val="516"/>
        </w:trPr>
        <w:tc>
          <w:tcPr>
            <w:tcW w:w="362" w:type="pct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≥65</w:t>
            </w:r>
          </w:p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years</w:t>
            </w:r>
          </w:p>
        </w:tc>
        <w:tc>
          <w:tcPr>
            <w:tcW w:w="15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1.03(0.99,1.07)</w:t>
            </w: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1.02(0.99,1.06)</w:t>
            </w:r>
          </w:p>
        </w:tc>
        <w:tc>
          <w:tcPr>
            <w:tcW w:w="1495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1.34(0.99,1.05)</w:t>
            </w:r>
          </w:p>
        </w:tc>
        <w:tc>
          <w:tcPr>
            <w:tcW w:w="814" w:type="pct"/>
            <w:noWrap/>
            <w:vAlign w:val="center"/>
            <w:hideMark/>
          </w:tcPr>
          <w:p w:rsidR="00D849AB" w:rsidRPr="003B03A2" w:rsidRDefault="00D849AB" w:rsidP="00517333">
            <w:pPr>
              <w:widowControl w:val="0"/>
              <w:rPr>
                <w:rFonts w:cs="Arial"/>
                <w:szCs w:val="20"/>
              </w:rPr>
            </w:pPr>
            <w:r w:rsidRPr="003B03A2">
              <w:rPr>
                <w:rFonts w:cs="Arial"/>
                <w:szCs w:val="20"/>
              </w:rPr>
              <w:t>1.02(0.99,1.27)</w:t>
            </w:r>
          </w:p>
        </w:tc>
      </w:tr>
    </w:tbl>
    <w:p w:rsidR="00D849AB" w:rsidRPr="003B03A2" w:rsidRDefault="00D849AB" w:rsidP="00D849AB">
      <w:pPr>
        <w:rPr>
          <w:rFonts w:cs="Arial"/>
          <w:b/>
          <w:bCs/>
          <w:szCs w:val="20"/>
        </w:rPr>
      </w:pPr>
      <w:r w:rsidRPr="003B03A2">
        <w:rPr>
          <w:rFonts w:cs="Arial"/>
          <w:b/>
          <w:szCs w:val="20"/>
        </w:rPr>
        <w:t>Note.</w:t>
      </w:r>
      <w:r w:rsidRPr="003B03A2">
        <w:rPr>
          <w:rFonts w:cs="Arial"/>
          <w:szCs w:val="20"/>
        </w:rPr>
        <w:t>*P&lt; 0.05; Extreme hot effect presents relative risk for per 1 °C increase from 75th percentile temperature to 99th percentile of mean temperature and apparent temperature. Moderate hot effect presents relative risk for per 1 °C increase from 75th percentile temperature to 90th percentile of mean temperature and apparent temperature.</w:t>
      </w:r>
    </w:p>
    <w:p w:rsidR="00D849AB" w:rsidRPr="003B03A2" w:rsidRDefault="00D849AB" w:rsidP="00D849AB">
      <w:pPr>
        <w:ind w:firstLineChars="200" w:firstLine="400"/>
        <w:rPr>
          <w:rFonts w:cs="Arial"/>
          <w:szCs w:val="20"/>
        </w:rPr>
      </w:pPr>
    </w:p>
    <w:p w:rsidR="00D849AB" w:rsidRPr="003B03A2" w:rsidRDefault="00D849AB" w:rsidP="00D849AB">
      <w:pPr>
        <w:ind w:firstLineChars="200" w:firstLine="400"/>
        <w:rPr>
          <w:rFonts w:cs="Arial"/>
          <w:szCs w:val="20"/>
        </w:rPr>
      </w:pPr>
    </w:p>
    <w:p w:rsidR="0079070C" w:rsidRDefault="0079070C">
      <w:bookmarkStart w:id="0" w:name="_GoBack"/>
      <w:bookmarkEnd w:id="0"/>
    </w:p>
    <w:sectPr w:rsidR="00790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AB"/>
    <w:rsid w:val="0079070C"/>
    <w:rsid w:val="00C94890"/>
    <w:rsid w:val="00CF2321"/>
    <w:rsid w:val="00D849AB"/>
    <w:rsid w:val="00E572F5"/>
    <w:rsid w:val="00F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A2208-8801-4C93-A59F-0E2847CB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9AB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FB27A8"/>
    <w:rPr>
      <w:rFonts w:ascii="Arial" w:hAnsi="Arial" w:cs="Arial"/>
      <w:kern w:val="0"/>
      <w:sz w:val="24"/>
      <w:szCs w:val="24"/>
      <w:lang w:val="en-GB" w:eastAsia="en-US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样式1"/>
    <w:basedOn w:val="a1"/>
    <w:uiPriority w:val="99"/>
    <w:rsid w:val="00FB27A8"/>
    <w:rPr>
      <w:rFonts w:ascii="Arial" w:hAnsi="Arial" w:cs="Arial"/>
      <w:kern w:val="0"/>
      <w:sz w:val="24"/>
      <w:szCs w:val="24"/>
      <w:lang w:val="en-GB" w:eastAsia="en-US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">
    <w:name w:val="样式2"/>
    <w:basedOn w:val="a1"/>
    <w:rsid w:val="00D849AB"/>
    <w:rPr>
      <w:rFonts w:ascii="Times New Roman" w:eastAsia="等线" w:hAnsi="Times New Roman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yongqiao</dc:creator>
  <cp:keywords/>
  <dc:description/>
  <cp:lastModifiedBy>zhang yongqiao</cp:lastModifiedBy>
  <cp:revision>1</cp:revision>
  <dcterms:created xsi:type="dcterms:W3CDTF">2019-11-06T00:48:00Z</dcterms:created>
  <dcterms:modified xsi:type="dcterms:W3CDTF">2019-11-06T00:49:00Z</dcterms:modified>
</cp:coreProperties>
</file>