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911" w:rsidRDefault="00C31911">
      <w:pPr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Supplementary material</w:t>
      </w:r>
    </w:p>
    <w:p w:rsidR="00C31911" w:rsidRDefault="00C31911">
      <w:pPr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</w:p>
    <w:p w:rsidR="00C31911" w:rsidRDefault="00C31911">
      <w:pPr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011760EF" wp14:editId="38B73B21">
            <wp:extent cx="4591050" cy="3514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018" w:rsidRPr="00C31911" w:rsidRDefault="00C31911">
      <w:r w:rsidRPr="00C31911">
        <w:rPr>
          <w:b/>
          <w:color w:val="000000"/>
          <w:shd w:val="clear" w:color="auto" w:fill="FFFFFF"/>
        </w:rPr>
        <w:t xml:space="preserve">Figure </w:t>
      </w:r>
      <w:r w:rsidRPr="00C31911">
        <w:rPr>
          <w:b/>
          <w:color w:val="000000"/>
          <w:shd w:val="clear" w:color="auto" w:fill="FFFFFF"/>
        </w:rPr>
        <w:t>S1</w:t>
      </w:r>
      <w:r w:rsidRPr="00C31911">
        <w:rPr>
          <w:color w:val="000000"/>
          <w:shd w:val="clear" w:color="auto" w:fill="FFFFFF"/>
        </w:rPr>
        <w:t> Typical staining image of ZEB2 in four types of breast cancer. ZEB2 mainly showed negative and weak positive staining in luminal A and luminal B breast cancer, weak and moderate positive staining in HER-2 positive breast cancer, and strong positive staining in TNBC breast cancer.</w:t>
      </w:r>
      <w:bookmarkStart w:id="0" w:name="_GoBack"/>
      <w:bookmarkEnd w:id="0"/>
    </w:p>
    <w:sectPr w:rsidR="00D70018" w:rsidRPr="00C31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11"/>
    <w:rsid w:val="00C31911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B539"/>
  <w15:chartTrackingRefBased/>
  <w15:docId w15:val="{695E634C-B712-4949-9866-F6DD2C88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2019-11-05T22:59:00Z</dcterms:created>
  <dcterms:modified xsi:type="dcterms:W3CDTF">2019-11-05T23:02:00Z</dcterms:modified>
</cp:coreProperties>
</file>