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183BA" w14:textId="77777777" w:rsidR="00AA018E" w:rsidRPr="00AE2568" w:rsidRDefault="00AA018E" w:rsidP="00AA018E">
      <w:pPr>
        <w:pStyle w:val="Heading4"/>
        <w:spacing w:beforeLines="50" w:before="156" w:after="0" w:line="240" w:lineRule="auto"/>
        <w:rPr>
          <w:rFonts w:ascii="Times New Roman" w:eastAsiaTheme="minorEastAsia" w:hAnsi="Times New Roman" w:cs="Times New Roman"/>
          <w:bCs w:val="0"/>
          <w:sz w:val="24"/>
        </w:rPr>
      </w:pPr>
      <w:bookmarkStart w:id="0" w:name="_GoBack"/>
      <w:bookmarkEnd w:id="0"/>
      <w:r w:rsidRPr="00AE2568">
        <w:rPr>
          <w:rFonts w:ascii="Times New Roman" w:eastAsiaTheme="minorEastAsia" w:hAnsi="Times New Roman" w:cs="Times New Roman"/>
          <w:bCs w:val="0"/>
          <w:sz w:val="24"/>
        </w:rPr>
        <w:t>Table</w:t>
      </w:r>
      <w:r w:rsidR="0074598A">
        <w:rPr>
          <w:rFonts w:ascii="Times New Roman" w:eastAsiaTheme="minorEastAsia" w:hAnsi="Times New Roman" w:cs="Times New Roman"/>
          <w:bCs w:val="0"/>
          <w:sz w:val="24"/>
        </w:rPr>
        <w:t xml:space="preserve"> S1</w:t>
      </w:r>
      <w:r w:rsidRPr="00AE2568">
        <w:rPr>
          <w:rFonts w:ascii="Times New Roman" w:eastAsiaTheme="minorEastAsia" w:hAnsi="Times New Roman" w:cs="Times New Roman"/>
          <w:bCs w:val="0"/>
          <w:sz w:val="24"/>
        </w:rPr>
        <w:t>. ORR and response.</w:t>
      </w:r>
    </w:p>
    <w:tbl>
      <w:tblPr>
        <w:tblW w:w="8082" w:type="dxa"/>
        <w:tblLook w:val="04A0" w:firstRow="1" w:lastRow="0" w:firstColumn="1" w:lastColumn="0" w:noHBand="0" w:noVBand="1"/>
      </w:tblPr>
      <w:tblGrid>
        <w:gridCol w:w="1985"/>
        <w:gridCol w:w="1559"/>
        <w:gridCol w:w="1985"/>
        <w:gridCol w:w="1842"/>
        <w:gridCol w:w="711"/>
      </w:tblGrid>
      <w:tr w:rsidR="00AA018E" w:rsidRPr="0001256C" w14:paraId="14407FA5" w14:textId="77777777" w:rsidTr="00FA5751">
        <w:trPr>
          <w:trHeight w:val="285"/>
        </w:trPr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724CE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Response</w:t>
            </w:r>
          </w:p>
        </w:tc>
        <w:tc>
          <w:tcPr>
            <w:tcW w:w="53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ABA916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 xml:space="preserve"> No. of Patients (%)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277F3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AA018E" w:rsidRPr="0001256C" w14:paraId="5D8F1341" w14:textId="77777777" w:rsidTr="00FA5751">
        <w:trPr>
          <w:trHeight w:val="285"/>
        </w:trPr>
        <w:tc>
          <w:tcPr>
            <w:tcW w:w="198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6D92AB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066AA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F589B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B+PP (n=26)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70BC7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PP (n=45)</w:t>
            </w:r>
          </w:p>
        </w:tc>
        <w:tc>
          <w:tcPr>
            <w:tcW w:w="711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9B801F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</w:tr>
      <w:tr w:rsidR="00AA018E" w:rsidRPr="0001256C" w14:paraId="135EFB56" w14:textId="77777777" w:rsidTr="00FA5751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29754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44EE1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2CDA7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8572F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585E9" w14:textId="77777777" w:rsidR="00AA018E" w:rsidRPr="0001256C" w:rsidRDefault="00AA018E" w:rsidP="00FA575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01256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018E" w:rsidRPr="0001256C" w14:paraId="7FB2EB72" w14:textId="77777777" w:rsidTr="00FA5751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CD4DB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E9B64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 (47.9)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C3043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 (53.8)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42127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 (44.4)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8B275" w14:textId="77777777" w:rsidR="00AA018E" w:rsidRPr="0001256C" w:rsidRDefault="00AA018E" w:rsidP="00FA575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01256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018E" w:rsidRPr="0001256C" w14:paraId="0A5B7F51" w14:textId="77777777" w:rsidTr="00FA5751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F766C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EB6F9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 (33.8)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E289A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 (34.6)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873FC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 (33.3)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674CC" w14:textId="77777777" w:rsidR="00AA018E" w:rsidRPr="0001256C" w:rsidRDefault="00AA018E" w:rsidP="00FA575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01256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018E" w:rsidRPr="0001256C" w14:paraId="484634F7" w14:textId="77777777" w:rsidTr="00FA5751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00BA8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C25F1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 (18.3)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85668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 (11.5)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7B509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 (22.2)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911A1" w14:textId="77777777" w:rsidR="00AA018E" w:rsidRPr="0001256C" w:rsidRDefault="00AA018E" w:rsidP="00FA575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01256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018E" w:rsidRPr="0001256C" w14:paraId="1A05BB90" w14:textId="77777777" w:rsidTr="00FA5751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ABBA6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ORR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DB9EE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 (47.9)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2A525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 (53.8)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65370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 (44.4)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B9EBE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0.445</w:t>
            </w:r>
          </w:p>
        </w:tc>
      </w:tr>
      <w:tr w:rsidR="00AA018E" w:rsidRPr="0001256C" w14:paraId="5251B6DA" w14:textId="77777777" w:rsidTr="00FA5751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F9434D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97BF75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58 (81.7)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98C738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 (88.5)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1F6F68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 (77.8)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01CE3D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0.422</w:t>
            </w:r>
          </w:p>
        </w:tc>
      </w:tr>
    </w:tbl>
    <w:p w14:paraId="23E0A7FB" w14:textId="77777777" w:rsidR="00AA018E" w:rsidRDefault="00AA018E" w:rsidP="00AA018E">
      <w:pPr>
        <w:widowControl/>
        <w:jc w:val="left"/>
        <w:rPr>
          <w:rFonts w:ascii="Times New Roman" w:eastAsia="DengXian" w:hAnsi="Times New Roman" w:cs="Times New Roman"/>
          <w:bCs/>
          <w:color w:val="000000"/>
          <w:kern w:val="0"/>
          <w:sz w:val="20"/>
          <w:szCs w:val="28"/>
        </w:rPr>
      </w:pPr>
      <w:r w:rsidRPr="00F519A0">
        <w:rPr>
          <w:rFonts w:ascii="Times New Roman" w:eastAsia="DengXian" w:hAnsi="Times New Roman" w:cs="Times New Roman"/>
          <w:bCs/>
          <w:color w:val="000000"/>
          <w:kern w:val="0"/>
          <w:sz w:val="20"/>
          <w:szCs w:val="28"/>
        </w:rPr>
        <w:t>Abbreviations: B+PP, bevacizumab plus pemetrexed-platinum; PP, pemetrexed-platinum; CR, complete response; PR, partial response; SD, stable disease; PD, progressive disease; ORR, objective response rate; DCR, disease control rate.</w:t>
      </w:r>
    </w:p>
    <w:p w14:paraId="7C991967" w14:textId="77777777" w:rsidR="00AA018E" w:rsidRPr="00AE2568" w:rsidRDefault="0074598A" w:rsidP="00AA018E">
      <w:pPr>
        <w:pStyle w:val="Heading4"/>
        <w:spacing w:beforeLines="50" w:before="156" w:after="0" w:line="240" w:lineRule="auto"/>
        <w:rPr>
          <w:rFonts w:ascii="Times New Roman" w:eastAsiaTheme="minorEastAsia" w:hAnsi="Times New Roman" w:cs="Times New Roman"/>
          <w:bCs w:val="0"/>
          <w:sz w:val="24"/>
        </w:rPr>
      </w:pPr>
      <w:r>
        <w:rPr>
          <w:rFonts w:ascii="Times New Roman" w:eastAsiaTheme="minorEastAsia" w:hAnsi="Times New Roman" w:cs="Times New Roman"/>
          <w:bCs w:val="0"/>
          <w:sz w:val="24"/>
        </w:rPr>
        <w:t>Table S2</w:t>
      </w:r>
      <w:r w:rsidR="00AA018E" w:rsidRPr="00AE2568">
        <w:rPr>
          <w:rFonts w:ascii="Times New Roman" w:eastAsiaTheme="minorEastAsia" w:hAnsi="Times New Roman" w:cs="Times New Roman"/>
          <w:bCs w:val="0"/>
          <w:sz w:val="24"/>
        </w:rPr>
        <w:t>. Intracranial ORR and response.</w:t>
      </w:r>
    </w:p>
    <w:tbl>
      <w:tblPr>
        <w:tblW w:w="8082" w:type="dxa"/>
        <w:tblLook w:val="04A0" w:firstRow="1" w:lastRow="0" w:firstColumn="1" w:lastColumn="0" w:noHBand="0" w:noVBand="1"/>
      </w:tblPr>
      <w:tblGrid>
        <w:gridCol w:w="1659"/>
        <w:gridCol w:w="1885"/>
        <w:gridCol w:w="1985"/>
        <w:gridCol w:w="1842"/>
        <w:gridCol w:w="711"/>
      </w:tblGrid>
      <w:tr w:rsidR="00AA018E" w:rsidRPr="0001256C" w14:paraId="3DCF2A0E" w14:textId="77777777" w:rsidTr="00FA5751">
        <w:trPr>
          <w:trHeight w:val="315"/>
        </w:trPr>
        <w:tc>
          <w:tcPr>
            <w:tcW w:w="165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080BA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Intracranial</w:t>
            </w:r>
            <w:r w:rsidRPr="0001256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br/>
              <w:t>Response</w:t>
            </w:r>
          </w:p>
        </w:tc>
        <w:tc>
          <w:tcPr>
            <w:tcW w:w="57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07203C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 xml:space="preserve"> No. of Patients (%)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C6E45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AA018E" w:rsidRPr="0001256C" w14:paraId="2926AF2C" w14:textId="77777777" w:rsidTr="00FA5751">
        <w:trPr>
          <w:trHeight w:val="285"/>
        </w:trPr>
        <w:tc>
          <w:tcPr>
            <w:tcW w:w="165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8D1E85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8C06F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B66A5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B+PP (n=26)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DBFC1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PP (n=45)</w:t>
            </w:r>
          </w:p>
        </w:tc>
        <w:tc>
          <w:tcPr>
            <w:tcW w:w="711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321398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</w:tr>
      <w:tr w:rsidR="00AA018E" w:rsidRPr="0001256C" w14:paraId="63A3953E" w14:textId="77777777" w:rsidTr="00FA5751">
        <w:trPr>
          <w:trHeight w:val="30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AF5B0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CR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03E73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 (4.2)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88FA1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 (11.5)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AE2C3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A336C" w14:textId="77777777" w:rsidR="00AA018E" w:rsidRPr="0001256C" w:rsidRDefault="00AA018E" w:rsidP="00FA575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01256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018E" w:rsidRPr="0001256C" w14:paraId="765254C1" w14:textId="77777777" w:rsidTr="00FA5751">
        <w:trPr>
          <w:trHeight w:val="30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151A7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63D3F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 (46.5)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881F7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 (42.3)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E9FAB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 (48.9)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05323" w14:textId="77777777" w:rsidR="00AA018E" w:rsidRPr="0001256C" w:rsidRDefault="00AA018E" w:rsidP="00FA575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01256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018E" w:rsidRPr="0001256C" w14:paraId="61A545E0" w14:textId="77777777" w:rsidTr="00FA5751">
        <w:trPr>
          <w:trHeight w:val="30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A77CF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SD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3183E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 (40.8)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5C668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 (42.3)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9735A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 (40.0)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B0901" w14:textId="77777777" w:rsidR="00AA018E" w:rsidRPr="0001256C" w:rsidRDefault="00AA018E" w:rsidP="00FA575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01256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018E" w:rsidRPr="0001256C" w14:paraId="34EFCBB7" w14:textId="77777777" w:rsidTr="00FA5751">
        <w:trPr>
          <w:trHeight w:val="315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68C67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PD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4FFB9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 (8.5)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30770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 (3.8)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14C79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 (11.1)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F904D" w14:textId="77777777" w:rsidR="00AA018E" w:rsidRPr="0001256C" w:rsidRDefault="00AA018E" w:rsidP="00FA5751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01256C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018E" w:rsidRPr="0001256C" w14:paraId="28EB9917" w14:textId="77777777" w:rsidTr="00FA5751">
        <w:trPr>
          <w:trHeight w:val="30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6FB20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ORR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CFE0C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 (50.7)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B0348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 (53.8)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98A70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 (48.9)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0EE1D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0.565</w:t>
            </w:r>
          </w:p>
        </w:tc>
      </w:tr>
      <w:tr w:rsidR="00AA018E" w:rsidRPr="0001256C" w14:paraId="0C47AA51" w14:textId="77777777" w:rsidTr="00FA5751">
        <w:trPr>
          <w:trHeight w:val="315"/>
        </w:trPr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5CD6ED" w14:textId="77777777" w:rsidR="00AA018E" w:rsidRPr="0001256C" w:rsidRDefault="00AA018E" w:rsidP="00FA57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DCR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AE3E8F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 (91.5)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A29C2F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 (96.2)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4EA5AB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40 (88.9)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366EDB" w14:textId="77777777" w:rsidR="00AA018E" w:rsidRPr="0001256C" w:rsidRDefault="00AA018E" w:rsidP="00FA57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1256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0.537</w:t>
            </w:r>
          </w:p>
        </w:tc>
      </w:tr>
    </w:tbl>
    <w:p w14:paraId="345DA856" w14:textId="77777777" w:rsidR="00AA018E" w:rsidRDefault="00AA018E" w:rsidP="00AA018E">
      <w:pPr>
        <w:widowControl/>
        <w:jc w:val="left"/>
        <w:rPr>
          <w:rFonts w:ascii="Times New Roman" w:eastAsia="DengXian" w:hAnsi="Times New Roman" w:cs="Times New Roman"/>
          <w:bCs/>
          <w:color w:val="000000"/>
          <w:kern w:val="0"/>
          <w:sz w:val="20"/>
          <w:szCs w:val="28"/>
        </w:rPr>
      </w:pPr>
      <w:r w:rsidRPr="00F519A0">
        <w:rPr>
          <w:rFonts w:ascii="Times New Roman" w:eastAsia="DengXian" w:hAnsi="Times New Roman" w:cs="Times New Roman"/>
          <w:bCs/>
          <w:color w:val="000000"/>
          <w:kern w:val="0"/>
          <w:sz w:val="20"/>
          <w:szCs w:val="28"/>
        </w:rPr>
        <w:t>Abbreviations: B+PP, bevacizumab plus pemetrexed-platinum; PP, pemetrexed-platinum; CR, complete response; PR, partial response; SD, stable disease; PD, progressive disease; ORR, objective response rate; DCR, disease control rate.</w:t>
      </w:r>
    </w:p>
    <w:p w14:paraId="080FCCF4" w14:textId="77777777" w:rsidR="003C6020" w:rsidRPr="00AA018E" w:rsidRDefault="003C6020"/>
    <w:sectPr w:rsidR="003C6020" w:rsidRPr="00AA0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09168" w14:textId="77777777" w:rsidR="005B344B" w:rsidRDefault="005B344B" w:rsidP="00AA018E">
      <w:r>
        <w:separator/>
      </w:r>
    </w:p>
  </w:endnote>
  <w:endnote w:type="continuationSeparator" w:id="0">
    <w:p w14:paraId="624786C5" w14:textId="77777777" w:rsidR="005B344B" w:rsidRDefault="005B344B" w:rsidP="00AA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339E1" w14:textId="77777777" w:rsidR="005B344B" w:rsidRDefault="005B344B" w:rsidP="00AA018E">
      <w:r>
        <w:separator/>
      </w:r>
    </w:p>
  </w:footnote>
  <w:footnote w:type="continuationSeparator" w:id="0">
    <w:p w14:paraId="6A97FDA9" w14:textId="77777777" w:rsidR="005B344B" w:rsidRDefault="005B344B" w:rsidP="00AA0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8A7"/>
    <w:rsid w:val="000779C6"/>
    <w:rsid w:val="003C6020"/>
    <w:rsid w:val="005B18FB"/>
    <w:rsid w:val="005B344B"/>
    <w:rsid w:val="006378A7"/>
    <w:rsid w:val="0074598A"/>
    <w:rsid w:val="00823CA6"/>
    <w:rsid w:val="00AA018E"/>
    <w:rsid w:val="00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61F882"/>
  <w15:chartTrackingRefBased/>
  <w15:docId w15:val="{62368EB4-A10E-4AFB-8A39-DA1BAFA3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18E"/>
    <w:pPr>
      <w:widowControl w:val="0"/>
      <w:jc w:val="both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018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018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0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018E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A018E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17365-5E5E-407C-9C53-88B65228E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9B861-D753-4CB3-8DAD-C750866B7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94B5-3ED5-47E9-A31B-F2FE1C0899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XiTongTianDi.Com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 tian</dc:creator>
  <cp:keywords/>
  <dc:description/>
  <cp:lastModifiedBy>Tania Olliver</cp:lastModifiedBy>
  <cp:revision>2</cp:revision>
  <dcterms:created xsi:type="dcterms:W3CDTF">2019-11-14T21:51:00Z</dcterms:created>
  <dcterms:modified xsi:type="dcterms:W3CDTF">2019-11-14T21:51:00Z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