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02A5A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  <w:bookmarkStart w:id="0" w:name="_GoBack"/>
      <w:r>
        <w:rPr>
          <w:rFonts w:ascii="Times New Roman" w:hAnsi="Times New Roman"/>
          <w:noProof/>
          <w:lang w:eastAsia="zh-CN"/>
        </w:rPr>
        <w:drawing>
          <wp:inline distT="0" distB="0" distL="0" distR="0" wp14:anchorId="5260FFD4" wp14:editId="6E4350B0">
            <wp:extent cx="5612130" cy="6692399"/>
            <wp:effectExtent l="19050" t="0" r="7620" b="0"/>
            <wp:docPr id="1" name="图片 1" descr="D:\春风绿翻译\同事\ma tuo\revision\M11396 zhang jing 返修 to oncotargets and therapy\第一次修改\提交到杂志的终稿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春风绿翻译\同事\ma tuo\revision\M11396 zhang jing 返修 to oncotargets and therapy\第一次修改\提交到杂志的终稿\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71257FE1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</w:p>
    <w:p w14:paraId="46A7DBFD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  <w:r>
        <w:rPr>
          <w:rFonts w:ascii="Times New Roman" w:hAnsi="Times New Roman" w:hint="eastAsia"/>
          <w:b/>
          <w:snapToGrid w:val="0"/>
        </w:rPr>
        <w:t xml:space="preserve">Supplementary </w:t>
      </w:r>
      <w:bookmarkStart w:id="1" w:name="OLE_LINK3"/>
      <w:bookmarkStart w:id="2" w:name="OLE_LINK4"/>
      <w:r>
        <w:rPr>
          <w:rFonts w:ascii="Times New Roman" w:hAnsi="Times New Roman" w:hint="eastAsia"/>
          <w:b/>
          <w:snapToGrid w:val="0"/>
        </w:rPr>
        <w:t>Figure</w:t>
      </w:r>
      <w:bookmarkEnd w:id="1"/>
      <w:bookmarkEnd w:id="2"/>
      <w:r>
        <w:rPr>
          <w:rFonts w:ascii="Times New Roman" w:hAnsi="Times New Roman" w:hint="eastAsia"/>
          <w:b/>
          <w:snapToGrid w:val="0"/>
        </w:rPr>
        <w:t xml:space="preserve"> 1.</w:t>
      </w:r>
      <w:r>
        <w:rPr>
          <w:rFonts w:ascii="Times New Roman" w:hAnsi="Times New Roman" w:hint="eastAsia"/>
          <w:b/>
          <w:snapToGrid w:val="0"/>
          <w:lang w:eastAsia="zh-CN"/>
        </w:rPr>
        <w:t xml:space="preserve"> </w:t>
      </w:r>
      <w:r>
        <w:rPr>
          <w:rFonts w:ascii="Times New Roman" w:hAnsi="Times New Roman"/>
        </w:rPr>
        <w:t>Heat map of</w:t>
      </w:r>
      <w:r>
        <w:rPr>
          <w:rFonts w:ascii="Times New Roman" w:hAnsi="Times New Roman"/>
          <w:snapToGrid w:val="0"/>
        </w:rPr>
        <w:t xml:space="preserve"> differentially expressed genes in gastric cancer. The GEO database (A), including 22 gastric cancer samples and 8 normal gastritis epithelial samples, and, the TCGA database (B), including 32 gastric cancer samples and 32 normal gastritis epithelial samples, were </w:t>
      </w:r>
      <w:proofErr w:type="spellStart"/>
      <w:r>
        <w:rPr>
          <w:rFonts w:ascii="Times New Roman" w:hAnsi="Times New Roman"/>
          <w:snapToGrid w:val="0"/>
        </w:rPr>
        <w:t>used.The</w:t>
      </w:r>
      <w:proofErr w:type="spellEnd"/>
      <w:r>
        <w:rPr>
          <w:rFonts w:ascii="Times New Roman" w:hAnsi="Times New Roman"/>
          <w:snapToGrid w:val="0"/>
        </w:rPr>
        <w:t xml:space="preserve"> blue </w:t>
      </w:r>
      <w:r>
        <w:rPr>
          <w:rFonts w:ascii="Times New Roman" w:hAnsi="Times New Roman"/>
          <w:snapToGrid w:val="0"/>
        </w:rPr>
        <w:lastRenderedPageBreak/>
        <w:t>portion of the figure indicates a gene that is lowly expressed in tumor sample compared to normal sample, and the red portion indicates a gene that is highly expressed in tumor sample as compared with normal sample.</w:t>
      </w:r>
    </w:p>
    <w:p w14:paraId="30AF5F7D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</w:p>
    <w:p w14:paraId="52EF0B70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</w:p>
    <w:p w14:paraId="3796970A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</w:p>
    <w:p w14:paraId="272D1BD3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</w:p>
    <w:p w14:paraId="0891222E" w14:textId="77777777" w:rsidR="007C3778" w:rsidRDefault="007C3778">
      <w:pPr>
        <w:spacing w:line="240" w:lineRule="auto"/>
        <w:rPr>
          <w:rFonts w:ascii="Times New Roman" w:hAnsi="Times New Roman"/>
          <w:snapToGrid w:val="0"/>
          <w:lang w:eastAsia="zh-CN"/>
        </w:rPr>
      </w:pPr>
      <w:r>
        <w:rPr>
          <w:rFonts w:ascii="Times New Roman" w:hAnsi="Times New Roman"/>
          <w:snapToGrid w:val="0"/>
          <w:lang w:eastAsia="zh-CN"/>
        </w:rPr>
        <w:br w:type="page"/>
      </w:r>
    </w:p>
    <w:p w14:paraId="42D8FEDA" w14:textId="77777777" w:rsid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</w:p>
    <w:p w14:paraId="19B5B742" w14:textId="77777777" w:rsidR="007C3778" w:rsidRPr="007C3778" w:rsidRDefault="007C3778" w:rsidP="007C3778">
      <w:pPr>
        <w:adjustRightInd w:val="0"/>
        <w:snapToGrid w:val="0"/>
        <w:rPr>
          <w:rFonts w:ascii="Times New Roman" w:hAnsi="Times New Roman"/>
          <w:snapToGrid w:val="0"/>
          <w:lang w:eastAsia="zh-CN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277B66A0" wp14:editId="441CD72D">
            <wp:extent cx="5612130" cy="1859073"/>
            <wp:effectExtent l="19050" t="0" r="7620" b="0"/>
            <wp:docPr id="2" name="图片 2" descr="D:\春风绿翻译\同事\ma tuo\revision\M11396 zhang jing 返修 to oncotargets and therapy\第一次修改\提交到杂志的终稿\supplementary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春风绿翻译\同事\ma tuo\revision\M11396 zhang jing 返修 to oncotargets and therapy\第一次修改\提交到杂志的终稿\supplementary Figur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5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40C15" w14:textId="77777777" w:rsidR="007C3778" w:rsidRDefault="007C3778" w:rsidP="007C3778">
      <w:pPr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b/>
          <w:snapToGrid w:val="0"/>
        </w:rPr>
        <w:t>Supplementary</w:t>
      </w:r>
      <w:r>
        <w:rPr>
          <w:rFonts w:ascii="Times New Roman" w:hAnsi="Times New Roman"/>
          <w:b/>
          <w:snapToGrid w:val="0"/>
        </w:rPr>
        <w:t xml:space="preserve"> Figure 2.</w:t>
      </w:r>
      <w:r>
        <w:rPr>
          <w:rFonts w:ascii="Times New Roman" w:hAnsi="Times New Roman"/>
          <w:snapToGrid w:val="0"/>
        </w:rPr>
        <w:t xml:space="preserve"> Intersection of differentially expressed genes from the GEO database and the TCGA database</w:t>
      </w:r>
      <w:r>
        <w:rPr>
          <w:rFonts w:ascii="Times New Roman" w:hAnsi="Times New Roman" w:hint="eastAsia"/>
          <w:snapToGrid w:val="0"/>
        </w:rPr>
        <w:t>. (</w:t>
      </w: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/>
        </w:rPr>
        <w:t xml:space="preserve"> The up-regulated genes from the different databases. 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/>
        </w:rPr>
        <w:t xml:space="preserve"> The down-regulated genes from the different databases.</w:t>
      </w:r>
    </w:p>
    <w:p w14:paraId="2C9068CF" w14:textId="77777777" w:rsidR="007C3778" w:rsidRDefault="007C3778" w:rsidP="007C3778">
      <w:pPr>
        <w:rPr>
          <w:rFonts w:ascii="Times New Roman" w:hAnsi="Times New Roman"/>
          <w:lang w:eastAsia="zh-CN"/>
        </w:rPr>
      </w:pPr>
    </w:p>
    <w:p w14:paraId="3B118552" w14:textId="77777777" w:rsidR="007C3778" w:rsidRDefault="007C3778" w:rsidP="007C3778">
      <w:pPr>
        <w:rPr>
          <w:rFonts w:ascii="Times New Roman" w:hAnsi="Times New Roman"/>
          <w:lang w:eastAsia="zh-CN"/>
        </w:rPr>
      </w:pPr>
    </w:p>
    <w:p w14:paraId="2A347681" w14:textId="77777777" w:rsidR="007C3778" w:rsidRDefault="007C3778" w:rsidP="007C3778">
      <w:pPr>
        <w:rPr>
          <w:rFonts w:ascii="Times New Roman" w:hAnsi="Times New Roman"/>
          <w:lang w:eastAsia="zh-CN"/>
        </w:rPr>
      </w:pPr>
      <w:r>
        <w:rPr>
          <w:rFonts w:ascii="Times New Roman" w:hAnsi="Times New Roman"/>
          <w:noProof/>
          <w:lang w:eastAsia="zh-CN"/>
        </w:rPr>
        <w:lastRenderedPageBreak/>
        <w:drawing>
          <wp:inline distT="0" distB="0" distL="0" distR="0" wp14:anchorId="2177A507" wp14:editId="0602C28E">
            <wp:extent cx="5612130" cy="4913887"/>
            <wp:effectExtent l="19050" t="0" r="7620" b="0"/>
            <wp:docPr id="3" name="图片 3" descr="D:\春风绿翻译\同事\ma tuo\revision\M11396 zhang jing 返修 to oncotargets and therapy\第一次修改\提交到杂志的终稿\supplementary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春风绿翻译\同事\ma tuo\revision\M11396 zhang jing 返修 to oncotargets and therapy\第一次修改\提交到杂志的终稿\supplementary Figur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1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2F2ED" w14:textId="77777777" w:rsidR="007C3778" w:rsidRDefault="007C3778" w:rsidP="007C3778">
      <w:pPr>
        <w:rPr>
          <w:rFonts w:ascii="Times New Roman" w:hAnsi="Times New Roman"/>
          <w:snapToGrid w:val="0"/>
          <w:lang w:eastAsia="zh-CN"/>
        </w:rPr>
      </w:pPr>
      <w:r>
        <w:rPr>
          <w:rFonts w:ascii="Times New Roman" w:hAnsi="Times New Roman" w:hint="eastAsia"/>
          <w:b/>
          <w:snapToGrid w:val="0"/>
        </w:rPr>
        <w:t>Supplementary</w:t>
      </w:r>
      <w:r>
        <w:rPr>
          <w:rFonts w:ascii="Times New Roman" w:hAnsi="Times New Roman"/>
          <w:b/>
          <w:snapToGrid w:val="0"/>
        </w:rPr>
        <w:t xml:space="preserve"> Figure </w:t>
      </w:r>
      <w:r>
        <w:rPr>
          <w:rFonts w:ascii="Times New Roman" w:hAnsi="Times New Roman" w:hint="eastAsia"/>
          <w:b/>
          <w:snapToGrid w:val="0"/>
        </w:rPr>
        <w:t>3</w:t>
      </w:r>
      <w:r>
        <w:rPr>
          <w:rFonts w:ascii="Times New Roman" w:hAnsi="Times New Roman"/>
          <w:b/>
          <w:snapToGrid w:val="0"/>
        </w:rPr>
        <w:t>.</w:t>
      </w:r>
      <w:r>
        <w:rPr>
          <w:rFonts w:ascii="Times New Roman" w:hAnsi="Times New Roman" w:hint="eastAsia"/>
          <w:snapToGrid w:val="0"/>
        </w:rPr>
        <w:t xml:space="preserve"> PPI network of the 96 differentially expressed genes.</w:t>
      </w:r>
    </w:p>
    <w:p w14:paraId="211E538E" w14:textId="77777777" w:rsidR="007C3778" w:rsidRDefault="007C3778" w:rsidP="007C3778">
      <w:pPr>
        <w:rPr>
          <w:rFonts w:ascii="Times New Roman" w:hAnsi="Times New Roman"/>
          <w:lang w:eastAsia="zh-CN"/>
        </w:rPr>
      </w:pPr>
    </w:p>
    <w:p w14:paraId="23781FD1" w14:textId="77777777" w:rsidR="007C3778" w:rsidRDefault="007C3778" w:rsidP="007C3778">
      <w:pPr>
        <w:widowControl w:val="0"/>
        <w:rPr>
          <w:rFonts w:ascii="Times New Roman" w:eastAsia="Arial Unicode MS" w:hAnsi="Times New Roman"/>
          <w:color w:val="000000"/>
          <w:szCs w:val="20"/>
        </w:rPr>
      </w:pPr>
    </w:p>
    <w:p w14:paraId="5269555D" w14:textId="77777777" w:rsidR="007C3778" w:rsidRDefault="007C3778" w:rsidP="007C3778"/>
    <w:p w14:paraId="47E5DAC4" w14:textId="77777777" w:rsidR="00EE5F34" w:rsidRDefault="00EE5F34">
      <w:pPr>
        <w:spacing w:line="240" w:lineRule="auto"/>
        <w:rPr>
          <w:rFonts w:ascii="Times New Roman" w:hAnsi="Times New Roman"/>
          <w:sz w:val="21"/>
          <w:szCs w:val="18"/>
        </w:rPr>
      </w:pPr>
      <w:r>
        <w:rPr>
          <w:rFonts w:ascii="Times New Roman" w:hAnsi="Times New Roman"/>
          <w:sz w:val="21"/>
          <w:szCs w:val="18"/>
        </w:rPr>
        <w:br w:type="page"/>
      </w:r>
    </w:p>
    <w:p w14:paraId="3E844C81" w14:textId="390D2233" w:rsidR="00EE5F34" w:rsidRPr="00B6783A" w:rsidRDefault="00EE5F34" w:rsidP="00EE5F34">
      <w:pPr>
        <w:rPr>
          <w:rFonts w:ascii="Times New Roman" w:hAnsi="Times New Roman"/>
          <w:sz w:val="21"/>
          <w:szCs w:val="18"/>
        </w:rPr>
      </w:pPr>
      <w:r w:rsidRPr="00FF0BA0">
        <w:rPr>
          <w:rFonts w:ascii="Times New Roman" w:hAnsi="Times New Roman"/>
          <w:sz w:val="21"/>
          <w:szCs w:val="18"/>
        </w:rPr>
        <w:lastRenderedPageBreak/>
        <w:t>Supplementary Table 1</w:t>
      </w:r>
      <w:r w:rsidRPr="00B6783A">
        <w:rPr>
          <w:rFonts w:ascii="Times New Roman" w:hAnsi="Times New Roman"/>
          <w:sz w:val="21"/>
          <w:szCs w:val="18"/>
        </w:rPr>
        <w:t xml:space="preserve">. Clustering analysis of genes in PPI network by </w:t>
      </w:r>
      <w:proofErr w:type="spellStart"/>
      <w:r w:rsidRPr="00B6783A">
        <w:rPr>
          <w:rFonts w:ascii="Times New Roman" w:hAnsi="Times New Roman"/>
          <w:sz w:val="21"/>
          <w:szCs w:val="18"/>
        </w:rPr>
        <w:t>MCODE</w:t>
      </w:r>
      <w:proofErr w:type="spellEnd"/>
      <w:r w:rsidRPr="00B6783A">
        <w:rPr>
          <w:rFonts w:ascii="Times New Roman" w:hAnsi="Times New Roman"/>
          <w:sz w:val="21"/>
          <w:szCs w:val="18"/>
        </w:rPr>
        <w:t>.</w:t>
      </w:r>
    </w:p>
    <w:tbl>
      <w:tblPr>
        <w:tblW w:w="89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850"/>
        <w:gridCol w:w="851"/>
        <w:gridCol w:w="4012"/>
      </w:tblGrid>
      <w:tr w:rsidR="00EE5F34" w:rsidRPr="00B6783A" w14:paraId="100689CC" w14:textId="77777777" w:rsidTr="003B5FB4">
        <w:trPr>
          <w:trHeight w:val="490"/>
        </w:trPr>
        <w:tc>
          <w:tcPr>
            <w:tcW w:w="959" w:type="dxa"/>
            <w:noWrap/>
            <w:vAlign w:val="center"/>
          </w:tcPr>
          <w:p w14:paraId="7477C1EF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Cluster</w:t>
            </w:r>
          </w:p>
        </w:tc>
        <w:tc>
          <w:tcPr>
            <w:tcW w:w="2268" w:type="dxa"/>
            <w:noWrap/>
            <w:vAlign w:val="center"/>
          </w:tcPr>
          <w:p w14:paraId="3157DC32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Score (Density Nodes)</w:t>
            </w:r>
          </w:p>
        </w:tc>
        <w:tc>
          <w:tcPr>
            <w:tcW w:w="850" w:type="dxa"/>
            <w:noWrap/>
            <w:vAlign w:val="center"/>
          </w:tcPr>
          <w:p w14:paraId="12A73313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Nodes</w:t>
            </w:r>
          </w:p>
        </w:tc>
        <w:tc>
          <w:tcPr>
            <w:tcW w:w="851" w:type="dxa"/>
            <w:noWrap/>
            <w:vAlign w:val="center"/>
          </w:tcPr>
          <w:p w14:paraId="335F0944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Edges</w:t>
            </w:r>
          </w:p>
        </w:tc>
        <w:tc>
          <w:tcPr>
            <w:tcW w:w="4012" w:type="dxa"/>
            <w:noWrap/>
            <w:vAlign w:val="center"/>
          </w:tcPr>
          <w:p w14:paraId="5FF3335E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Node IDs</w:t>
            </w:r>
          </w:p>
        </w:tc>
      </w:tr>
      <w:tr w:rsidR="00EE5F34" w:rsidRPr="00B6783A" w14:paraId="17EB9DB9" w14:textId="77777777" w:rsidTr="003B5FB4">
        <w:trPr>
          <w:trHeight w:val="285"/>
        </w:trPr>
        <w:tc>
          <w:tcPr>
            <w:tcW w:w="959" w:type="dxa"/>
            <w:noWrap/>
            <w:vAlign w:val="center"/>
          </w:tcPr>
          <w:p w14:paraId="65E1191F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1</w:t>
            </w:r>
          </w:p>
        </w:tc>
        <w:tc>
          <w:tcPr>
            <w:tcW w:w="2268" w:type="dxa"/>
            <w:noWrap/>
            <w:vAlign w:val="center"/>
          </w:tcPr>
          <w:p w14:paraId="078D9514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7</w:t>
            </w:r>
          </w:p>
        </w:tc>
        <w:tc>
          <w:tcPr>
            <w:tcW w:w="850" w:type="dxa"/>
            <w:noWrap/>
            <w:vAlign w:val="center"/>
          </w:tcPr>
          <w:p w14:paraId="5D9CD96F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7</w:t>
            </w:r>
          </w:p>
        </w:tc>
        <w:tc>
          <w:tcPr>
            <w:tcW w:w="851" w:type="dxa"/>
            <w:noWrap/>
            <w:vAlign w:val="center"/>
          </w:tcPr>
          <w:p w14:paraId="654E67DD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21</w:t>
            </w:r>
          </w:p>
        </w:tc>
        <w:tc>
          <w:tcPr>
            <w:tcW w:w="4012" w:type="dxa"/>
            <w:noWrap/>
            <w:vAlign w:val="center"/>
          </w:tcPr>
          <w:p w14:paraId="0BF382BF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KIF11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NCAPD2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TOP2A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MCM3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MCM2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KIF23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b/>
                <w:sz w:val="21"/>
                <w:szCs w:val="18"/>
              </w:rPr>
              <w:t>MAD2L1</w:t>
            </w:r>
            <w:proofErr w:type="spellEnd"/>
          </w:p>
        </w:tc>
      </w:tr>
      <w:tr w:rsidR="00EE5F34" w:rsidRPr="00B6783A" w14:paraId="5C553C95" w14:textId="77777777" w:rsidTr="003B5FB4">
        <w:trPr>
          <w:trHeight w:val="270"/>
        </w:trPr>
        <w:tc>
          <w:tcPr>
            <w:tcW w:w="959" w:type="dxa"/>
            <w:noWrap/>
            <w:vAlign w:val="center"/>
          </w:tcPr>
          <w:p w14:paraId="450E8EDC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2</w:t>
            </w:r>
          </w:p>
        </w:tc>
        <w:tc>
          <w:tcPr>
            <w:tcW w:w="2268" w:type="dxa"/>
            <w:noWrap/>
            <w:vAlign w:val="center"/>
          </w:tcPr>
          <w:p w14:paraId="5A8B60CB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4</w:t>
            </w:r>
          </w:p>
        </w:tc>
        <w:tc>
          <w:tcPr>
            <w:tcW w:w="850" w:type="dxa"/>
            <w:noWrap/>
            <w:vAlign w:val="center"/>
          </w:tcPr>
          <w:p w14:paraId="300D218A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4</w:t>
            </w:r>
          </w:p>
        </w:tc>
        <w:tc>
          <w:tcPr>
            <w:tcW w:w="851" w:type="dxa"/>
            <w:noWrap/>
            <w:vAlign w:val="center"/>
          </w:tcPr>
          <w:p w14:paraId="02CC8427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6</w:t>
            </w:r>
          </w:p>
        </w:tc>
        <w:tc>
          <w:tcPr>
            <w:tcW w:w="4012" w:type="dxa"/>
            <w:noWrap/>
            <w:vAlign w:val="center"/>
          </w:tcPr>
          <w:p w14:paraId="7AF6778C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RRS1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DDX10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BYSL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WDR43</w:t>
            </w:r>
            <w:proofErr w:type="spellEnd"/>
          </w:p>
        </w:tc>
      </w:tr>
      <w:tr w:rsidR="00EE5F34" w:rsidRPr="00B6783A" w14:paraId="31781C6E" w14:textId="77777777" w:rsidTr="003B5FB4">
        <w:trPr>
          <w:trHeight w:val="270"/>
        </w:trPr>
        <w:tc>
          <w:tcPr>
            <w:tcW w:w="959" w:type="dxa"/>
            <w:noWrap/>
            <w:vAlign w:val="center"/>
          </w:tcPr>
          <w:p w14:paraId="4D02014F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2268" w:type="dxa"/>
            <w:noWrap/>
            <w:vAlign w:val="center"/>
          </w:tcPr>
          <w:p w14:paraId="60F92417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14:paraId="50EA71E0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1" w:type="dxa"/>
            <w:noWrap/>
            <w:vAlign w:val="center"/>
          </w:tcPr>
          <w:p w14:paraId="4D1F9151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4012" w:type="dxa"/>
            <w:noWrap/>
            <w:vAlign w:val="center"/>
          </w:tcPr>
          <w:p w14:paraId="4F169C54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NEK2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KIF2C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UBE2C</w:t>
            </w:r>
            <w:proofErr w:type="spellEnd"/>
          </w:p>
        </w:tc>
      </w:tr>
      <w:tr w:rsidR="00EE5F34" w:rsidRPr="00B6783A" w14:paraId="51F37D49" w14:textId="77777777" w:rsidTr="003B5FB4">
        <w:trPr>
          <w:trHeight w:val="270"/>
        </w:trPr>
        <w:tc>
          <w:tcPr>
            <w:tcW w:w="959" w:type="dxa"/>
            <w:noWrap/>
            <w:vAlign w:val="center"/>
          </w:tcPr>
          <w:p w14:paraId="67E78099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4</w:t>
            </w:r>
          </w:p>
        </w:tc>
        <w:tc>
          <w:tcPr>
            <w:tcW w:w="2268" w:type="dxa"/>
            <w:noWrap/>
            <w:vAlign w:val="center"/>
          </w:tcPr>
          <w:p w14:paraId="373D6937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14:paraId="49FA3194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1" w:type="dxa"/>
            <w:noWrap/>
            <w:vAlign w:val="center"/>
          </w:tcPr>
          <w:p w14:paraId="1E4CE95D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4012" w:type="dxa"/>
            <w:noWrap/>
            <w:vAlign w:val="center"/>
          </w:tcPr>
          <w:p w14:paraId="07A14C29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GINS1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RFC4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TRIP13</w:t>
            </w:r>
            <w:proofErr w:type="spellEnd"/>
          </w:p>
        </w:tc>
      </w:tr>
      <w:tr w:rsidR="00EE5F34" w:rsidRPr="00B6783A" w14:paraId="5B26E7E7" w14:textId="77777777" w:rsidTr="003B5FB4">
        <w:trPr>
          <w:trHeight w:val="270"/>
        </w:trPr>
        <w:tc>
          <w:tcPr>
            <w:tcW w:w="959" w:type="dxa"/>
            <w:noWrap/>
            <w:vAlign w:val="center"/>
          </w:tcPr>
          <w:p w14:paraId="051A42CC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5</w:t>
            </w:r>
          </w:p>
        </w:tc>
        <w:tc>
          <w:tcPr>
            <w:tcW w:w="2268" w:type="dxa"/>
            <w:noWrap/>
            <w:vAlign w:val="center"/>
          </w:tcPr>
          <w:p w14:paraId="5B814774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14:paraId="099F0197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1" w:type="dxa"/>
            <w:noWrap/>
            <w:vAlign w:val="center"/>
          </w:tcPr>
          <w:p w14:paraId="340CA62B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4012" w:type="dxa"/>
            <w:noWrap/>
            <w:vAlign w:val="center"/>
          </w:tcPr>
          <w:p w14:paraId="644F8ED2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STIP1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CCT6A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HSPD1</w:t>
            </w:r>
            <w:proofErr w:type="spellEnd"/>
          </w:p>
        </w:tc>
      </w:tr>
      <w:tr w:rsidR="00EE5F34" w:rsidRPr="00B6783A" w14:paraId="29B9E369" w14:textId="77777777" w:rsidTr="003B5FB4">
        <w:trPr>
          <w:trHeight w:val="285"/>
        </w:trPr>
        <w:tc>
          <w:tcPr>
            <w:tcW w:w="959" w:type="dxa"/>
            <w:noWrap/>
            <w:vAlign w:val="center"/>
          </w:tcPr>
          <w:p w14:paraId="7E9B6C0B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6</w:t>
            </w:r>
          </w:p>
        </w:tc>
        <w:tc>
          <w:tcPr>
            <w:tcW w:w="2268" w:type="dxa"/>
            <w:noWrap/>
            <w:vAlign w:val="center"/>
          </w:tcPr>
          <w:p w14:paraId="2B8CEE1D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14:paraId="58979BC9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851" w:type="dxa"/>
            <w:noWrap/>
            <w:vAlign w:val="center"/>
          </w:tcPr>
          <w:p w14:paraId="4B405246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r w:rsidRPr="00B6783A">
              <w:rPr>
                <w:rFonts w:ascii="Times New Roman" w:hAnsi="Times New Roman"/>
                <w:sz w:val="21"/>
                <w:szCs w:val="18"/>
              </w:rPr>
              <w:t>3</w:t>
            </w:r>
          </w:p>
        </w:tc>
        <w:tc>
          <w:tcPr>
            <w:tcW w:w="4012" w:type="dxa"/>
            <w:noWrap/>
            <w:vAlign w:val="center"/>
          </w:tcPr>
          <w:p w14:paraId="7DA1229D" w14:textId="77777777" w:rsidR="00EE5F34" w:rsidRPr="00B6783A" w:rsidRDefault="00EE5F34" w:rsidP="003B5FB4">
            <w:pPr>
              <w:rPr>
                <w:rFonts w:ascii="Times New Roman" w:hAnsi="Times New Roman"/>
                <w:szCs w:val="18"/>
              </w:rPr>
            </w:pP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PLAU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MKI67</w:t>
            </w:r>
            <w:proofErr w:type="spellEnd"/>
            <w:r w:rsidRPr="00B6783A">
              <w:rPr>
                <w:rFonts w:ascii="Times New Roman" w:hAnsi="Times New Roman"/>
                <w:sz w:val="21"/>
                <w:szCs w:val="18"/>
              </w:rPr>
              <w:t xml:space="preserve">, </w:t>
            </w:r>
            <w:proofErr w:type="spellStart"/>
            <w:r w:rsidRPr="00B6783A">
              <w:rPr>
                <w:rFonts w:ascii="Times New Roman" w:hAnsi="Times New Roman"/>
                <w:sz w:val="21"/>
                <w:szCs w:val="18"/>
              </w:rPr>
              <w:t>NCL</w:t>
            </w:r>
            <w:proofErr w:type="spellEnd"/>
          </w:p>
        </w:tc>
      </w:tr>
    </w:tbl>
    <w:p w14:paraId="5B560F15" w14:textId="77777777" w:rsidR="00EE5F34" w:rsidRPr="00B6783A" w:rsidRDefault="00EE5F34" w:rsidP="00EE5F34">
      <w:pPr>
        <w:rPr>
          <w:rFonts w:ascii="Times New Roman" w:hAnsi="Times New Roman"/>
          <w:sz w:val="32"/>
        </w:rPr>
      </w:pPr>
    </w:p>
    <w:p w14:paraId="2DFCB2B8" w14:textId="77777777" w:rsidR="00CD7CFB" w:rsidRDefault="00CD7CFB"/>
    <w:sectPr w:rsidR="00CD7CFB" w:rsidSect="00B91139">
      <w:footerReference w:type="even" r:id="rId9"/>
      <w:pgSz w:w="12240" w:h="15840"/>
      <w:pgMar w:top="1701" w:right="1701" w:bottom="170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8C1BF" w14:textId="77777777" w:rsidR="00000000" w:rsidRDefault="00EE5F34">
      <w:pPr>
        <w:spacing w:line="240" w:lineRule="auto"/>
      </w:pPr>
      <w:r>
        <w:separator/>
      </w:r>
    </w:p>
  </w:endnote>
  <w:endnote w:type="continuationSeparator" w:id="0">
    <w:p w14:paraId="570E4A41" w14:textId="77777777" w:rsidR="00000000" w:rsidRDefault="00EE5F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BE9A4" w14:textId="77777777" w:rsidR="003F5504" w:rsidRDefault="007C377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4F3C9A" w14:textId="77777777" w:rsidR="003F5504" w:rsidRDefault="00EE5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E803A" w14:textId="77777777" w:rsidR="00000000" w:rsidRDefault="00EE5F34">
      <w:pPr>
        <w:spacing w:line="240" w:lineRule="auto"/>
      </w:pPr>
      <w:r>
        <w:separator/>
      </w:r>
    </w:p>
  </w:footnote>
  <w:footnote w:type="continuationSeparator" w:id="0">
    <w:p w14:paraId="3566E825" w14:textId="77777777" w:rsidR="00000000" w:rsidRDefault="00EE5F3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778"/>
    <w:rsid w:val="007C3778"/>
    <w:rsid w:val="00CD7CFB"/>
    <w:rsid w:val="00EE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36A05"/>
  <w15:docId w15:val="{C645C59D-4A52-4EBA-AD64-C2C7D774F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778"/>
    <w:pPr>
      <w:spacing w:line="480" w:lineRule="auto"/>
    </w:pPr>
    <w:rPr>
      <w:rFonts w:ascii="Wingdings" w:eastAsia="SimSun" w:hAnsi="Wingdings" w:cs="Times New Roman"/>
      <w:kern w:val="0"/>
      <w:sz w:val="2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7C37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7C3778"/>
    <w:rPr>
      <w:rFonts w:ascii="Wingdings" w:eastAsia="SimSun" w:hAnsi="Wingdings" w:cs="Times New Roman"/>
      <w:kern w:val="0"/>
      <w:sz w:val="20"/>
      <w:szCs w:val="24"/>
      <w:lang w:eastAsia="en-US"/>
    </w:rPr>
  </w:style>
  <w:style w:type="character" w:styleId="PageNumber">
    <w:name w:val="page number"/>
    <w:basedOn w:val="DefaultParagraphFont"/>
    <w:qFormat/>
    <w:rsid w:val="007C3778"/>
  </w:style>
  <w:style w:type="paragraph" w:styleId="BalloonText">
    <w:name w:val="Balloon Text"/>
    <w:basedOn w:val="Normal"/>
    <w:link w:val="BalloonTextChar"/>
    <w:uiPriority w:val="99"/>
    <w:semiHidden/>
    <w:unhideWhenUsed/>
    <w:rsid w:val="007C3778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778"/>
    <w:rPr>
      <w:rFonts w:ascii="Wingdings" w:eastAsia="SimSun" w:hAnsi="Wingdings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Mel Phimester</cp:lastModifiedBy>
  <cp:revision>2</cp:revision>
  <dcterms:created xsi:type="dcterms:W3CDTF">2019-11-29T01:46:00Z</dcterms:created>
  <dcterms:modified xsi:type="dcterms:W3CDTF">2019-11-29T01:46:00Z</dcterms:modified>
</cp:coreProperties>
</file>