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drawings/drawing1.xml" ContentType="application/vnd.openxmlformats-officedocument.drawingml.chartshapes+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E2B9D33" w14:textId="77777777" w:rsidR="002E60D8" w:rsidRPr="00A6755A" w:rsidRDefault="002E60D8" w:rsidP="002E60D8">
      <w:pPr>
        <w:pageBreakBefore/>
        <w:rPr>
          <w:rFonts w:ascii="Arial" w:hAnsi="Arial" w:cs="Arial"/>
          <w:b/>
          <w:sz w:val="32"/>
          <w:szCs w:val="32"/>
        </w:rPr>
      </w:pPr>
      <w:bookmarkStart w:id="0" w:name="_GoBack"/>
      <w:bookmarkEnd w:id="0"/>
      <w:r w:rsidRPr="00A6755A">
        <w:rPr>
          <w:rFonts w:ascii="Arial" w:hAnsi="Arial" w:cs="Arial"/>
          <w:b/>
          <w:sz w:val="32"/>
          <w:szCs w:val="32"/>
        </w:rPr>
        <w:t>Materials and Methods</w:t>
      </w:r>
    </w:p>
    <w:p w14:paraId="5A3A6EB7" w14:textId="77777777" w:rsidR="002E60D8" w:rsidRDefault="002E60D8" w:rsidP="002E60D8">
      <w:pPr>
        <w:rPr>
          <w:rFonts w:ascii="Arial" w:hAnsi="Arial" w:cs="Arial"/>
          <w:b/>
        </w:rPr>
      </w:pPr>
    </w:p>
    <w:p w14:paraId="0EB63D5F" w14:textId="77777777" w:rsidR="002E60D8" w:rsidRPr="00A6755A" w:rsidRDefault="002E60D8" w:rsidP="002E60D8">
      <w:pPr>
        <w:spacing w:line="480" w:lineRule="auto"/>
        <w:rPr>
          <w:rFonts w:ascii="Arial" w:hAnsi="Arial" w:cs="Arial"/>
          <w:sz w:val="28"/>
          <w:szCs w:val="28"/>
        </w:rPr>
      </w:pPr>
      <w:r w:rsidRPr="00A6755A">
        <w:rPr>
          <w:rFonts w:ascii="Arial" w:hAnsi="Arial" w:cs="Arial"/>
          <w:b/>
          <w:sz w:val="28"/>
          <w:szCs w:val="28"/>
        </w:rPr>
        <w:t xml:space="preserve">Mouse model and Tissue Collection </w:t>
      </w:r>
    </w:p>
    <w:p w14:paraId="6B6B69AF" w14:textId="68578B37" w:rsidR="002E60D8" w:rsidRDefault="002E60D8" w:rsidP="002E60D8">
      <w:pPr>
        <w:spacing w:line="480" w:lineRule="auto"/>
        <w:rPr>
          <w:rFonts w:ascii="Arial" w:hAnsi="Arial" w:cs="Arial"/>
          <w:b/>
        </w:rPr>
      </w:pPr>
      <w:r>
        <w:rPr>
          <w:rFonts w:ascii="Arial" w:hAnsi="Arial" w:cs="Arial"/>
        </w:rPr>
        <w:t xml:space="preserve">BALB/c male mice that were 15-days old (Jackson [JAX] Laboratory, Sacramento, CA, USA) received a one-time injection of Diethylnitrosamine (D) (Sigma, #N0756) at a dose of 25 ug/g of body weight in saline. The mice received 0.05% phenobarbital (P) (Sigma, #P1636) in their drinking water at 21 days of age, which continued until they were sacrificed. At 28 days of age, mice were randomly assigned to either control or one of the four treatment groups. Age and gender-matched groups of mice without </w:t>
      </w:r>
      <w:r w:rsidR="00B31570">
        <w:rPr>
          <w:rFonts w:ascii="Arial" w:hAnsi="Arial" w:cs="Arial"/>
        </w:rPr>
        <w:t>carcinogens</w:t>
      </w:r>
      <w:r>
        <w:rPr>
          <w:rFonts w:ascii="Arial" w:hAnsi="Arial" w:cs="Arial"/>
        </w:rPr>
        <w:t xml:space="preserve"> or treatment were included in the study as additional controls. Mice were housed in an IACUC compliant facility (under protocol #14-431) with a 12-hour day/night light cycle and had access to standard mouse chow and water </w:t>
      </w:r>
      <w:r>
        <w:rPr>
          <w:rFonts w:ascii="Arial" w:hAnsi="Arial" w:cs="Arial"/>
          <w:i/>
        </w:rPr>
        <w:t>ad libitum</w:t>
      </w:r>
      <w:r>
        <w:rPr>
          <w:rFonts w:ascii="Arial" w:hAnsi="Arial" w:cs="Arial"/>
        </w:rPr>
        <w:t>. Mice were euthanized with CO</w:t>
      </w:r>
      <w:r>
        <w:rPr>
          <w:rFonts w:ascii="Arial" w:hAnsi="Arial" w:cs="Arial"/>
          <w:vertAlign w:val="subscript"/>
        </w:rPr>
        <w:t>2</w:t>
      </w:r>
      <w:r>
        <w:rPr>
          <w:rFonts w:ascii="Arial" w:hAnsi="Arial" w:cs="Arial"/>
        </w:rPr>
        <w:t xml:space="preserve"> gas 48 weeks post-initiation of treatment exposure. Immediately after euthanasia whole blood was collected by cardiac puncture and livers were harvested, washed in sterile saline, observed for gross pathology, photographed, then cut</w:t>
      </w:r>
      <w:r w:rsidR="00B31570">
        <w:rPr>
          <w:rFonts w:ascii="Arial" w:hAnsi="Arial" w:cs="Arial"/>
        </w:rPr>
        <w:t xml:space="preserve"> in half</w:t>
      </w:r>
      <w:r>
        <w:rPr>
          <w:rFonts w:ascii="Arial" w:hAnsi="Arial" w:cs="Arial"/>
        </w:rPr>
        <w:t xml:space="preserve">. Half of the liver was fixed in 10% formalin and embedded in paraffin, while the other half was snap frozen. </w:t>
      </w:r>
    </w:p>
    <w:p w14:paraId="0184BA57" w14:textId="77777777" w:rsidR="00B31570" w:rsidRPr="00B31570" w:rsidRDefault="00B31570" w:rsidP="002E60D8">
      <w:pPr>
        <w:spacing w:line="480" w:lineRule="auto"/>
        <w:rPr>
          <w:rFonts w:ascii="Arial" w:hAnsi="Arial" w:cs="Arial"/>
          <w:b/>
        </w:rPr>
      </w:pPr>
    </w:p>
    <w:p w14:paraId="12C26094" w14:textId="77777777" w:rsidR="002E60D8" w:rsidRPr="00A6755A" w:rsidRDefault="002E60D8" w:rsidP="002E60D8">
      <w:pPr>
        <w:spacing w:line="480" w:lineRule="auto"/>
        <w:rPr>
          <w:rFonts w:ascii="Arial" w:hAnsi="Arial" w:cs="Arial"/>
          <w:sz w:val="28"/>
          <w:szCs w:val="28"/>
        </w:rPr>
      </w:pPr>
      <w:r w:rsidRPr="00A6755A">
        <w:rPr>
          <w:rFonts w:ascii="Arial" w:hAnsi="Arial" w:cs="Arial"/>
          <w:b/>
          <w:sz w:val="28"/>
          <w:szCs w:val="28"/>
        </w:rPr>
        <w:t>Quantitative Real-Time PCR</w:t>
      </w:r>
    </w:p>
    <w:p w14:paraId="270EF204" w14:textId="77777777" w:rsidR="00DF25FC" w:rsidRPr="00DF25FC" w:rsidRDefault="002E60D8" w:rsidP="00DF25FC">
      <w:pPr>
        <w:spacing w:line="480" w:lineRule="auto"/>
        <w:rPr>
          <w:rFonts w:ascii="Arial" w:hAnsi="Arial" w:cs="Arial"/>
        </w:rPr>
      </w:pPr>
      <w:r>
        <w:rPr>
          <w:rFonts w:ascii="Arial" w:hAnsi="Arial" w:cs="Arial"/>
        </w:rPr>
        <w:t xml:space="preserve">Total RNA was isolated using the quickRNA miniPrep according to the manufacturer's protocol (Zymo Research, Irvin, CA #R1055). RNA was quantified using Nanodrop ND-1000 (Thermo Fisher, Wilmington, DE). cDNA was synthesized using the qScript cDNA synthesis kit (Quanta Biosciences, Beverly, MA. #84033) and incubated using the SimpliAmp thermal cycler (Applied Biosystems, Foster City, CA). Real-Time quantitative </w:t>
      </w:r>
      <w:r>
        <w:rPr>
          <w:rFonts w:ascii="Arial" w:hAnsi="Arial" w:cs="Arial"/>
        </w:rPr>
        <w:lastRenderedPageBreak/>
        <w:t>PCR was completed using the StepOne Plus real-time PCR system (Applied Biosystems). Primers were synthesized by Sigma Aldrich (St. Louis, MO). PCR products were detected using PerfeCTa SYBR Green Fastmix Rox (Quanta Biosciences, #95073). Relative gene expression was determined using the comparative cycle threshold (Ct). GAPDH was used as the normalizing control, and the fold-change was calculated and expressed.</w:t>
      </w:r>
      <w:r w:rsidR="00DF25FC">
        <w:rPr>
          <w:rFonts w:ascii="Arial" w:hAnsi="Arial" w:cs="Arial"/>
        </w:rPr>
        <w:t xml:space="preserve"> </w:t>
      </w:r>
      <w:r w:rsidR="00DF25FC" w:rsidRPr="00DF25FC">
        <w:rPr>
          <w:rFonts w:ascii="Arial" w:hAnsi="Arial" w:cs="Arial"/>
        </w:rPr>
        <w:t xml:space="preserve">The qRT-PCR primers were: </w:t>
      </w:r>
    </w:p>
    <w:p w14:paraId="036743F8" w14:textId="77777777" w:rsidR="00DF25FC" w:rsidRPr="00DF25FC" w:rsidRDefault="00DF25FC" w:rsidP="00DF25FC">
      <w:pPr>
        <w:spacing w:line="480" w:lineRule="auto"/>
        <w:rPr>
          <w:rFonts w:ascii="Arial" w:hAnsi="Arial" w:cs="Arial"/>
        </w:rPr>
      </w:pPr>
      <w:r w:rsidRPr="00DF25FC">
        <w:rPr>
          <w:rFonts w:ascii="Arial" w:hAnsi="Arial" w:cs="Arial"/>
        </w:rPr>
        <w:t xml:space="preserve">GAPDH F 5’- ACCCACTCCTCCACCTTT-3’, and R 5’-CTCTTGTGCTCTTGCTGGG-3’; </w:t>
      </w:r>
    </w:p>
    <w:p w14:paraId="45FFC6F0" w14:textId="67BE3B39" w:rsidR="002E60D8" w:rsidRDefault="00DF25FC" w:rsidP="002E60D8">
      <w:pPr>
        <w:spacing w:line="480" w:lineRule="auto"/>
        <w:rPr>
          <w:rFonts w:ascii="Arial" w:hAnsi="Arial" w:cs="Arial"/>
        </w:rPr>
      </w:pPr>
      <w:r w:rsidRPr="00DF25FC">
        <w:rPr>
          <w:rFonts w:ascii="Arial" w:hAnsi="Arial" w:cs="Arial"/>
        </w:rPr>
        <w:t>HIF-1α F 5’-GGCGCGAACGACAAGAAAA-3’, and R 5’- CCTTATCAAGATGCGAACTCAC-3’.</w:t>
      </w:r>
    </w:p>
    <w:p w14:paraId="007FAF5F" w14:textId="77777777" w:rsidR="002E60D8" w:rsidRDefault="002E60D8" w:rsidP="002E60D8">
      <w:pPr>
        <w:spacing w:line="480" w:lineRule="auto"/>
        <w:rPr>
          <w:rFonts w:ascii="Arial" w:hAnsi="Arial" w:cs="Arial"/>
        </w:rPr>
      </w:pPr>
    </w:p>
    <w:p w14:paraId="3D777C3F" w14:textId="77777777" w:rsidR="002E60D8" w:rsidRPr="00A6755A" w:rsidRDefault="002E60D8" w:rsidP="002E60D8">
      <w:pPr>
        <w:spacing w:line="480" w:lineRule="auto"/>
        <w:rPr>
          <w:rFonts w:ascii="Arial" w:hAnsi="Arial" w:cs="Arial"/>
          <w:sz w:val="28"/>
          <w:szCs w:val="28"/>
        </w:rPr>
      </w:pPr>
      <w:r w:rsidRPr="00A6755A">
        <w:rPr>
          <w:rFonts w:ascii="Arial" w:hAnsi="Arial" w:cs="Arial"/>
          <w:b/>
          <w:sz w:val="28"/>
          <w:szCs w:val="28"/>
        </w:rPr>
        <w:t>Immunohistochemistry staining and analysis</w:t>
      </w:r>
    </w:p>
    <w:p w14:paraId="2BE64139" w14:textId="47405CBC" w:rsidR="002E60D8" w:rsidRDefault="002E60D8" w:rsidP="002E60D8">
      <w:pPr>
        <w:spacing w:line="480" w:lineRule="auto"/>
        <w:rPr>
          <w:rFonts w:ascii="Arial" w:hAnsi="Arial" w:cs="Arial"/>
        </w:rPr>
      </w:pPr>
      <w:r>
        <w:rPr>
          <w:rFonts w:ascii="Arial" w:hAnsi="Arial" w:cs="Arial"/>
        </w:rPr>
        <w:t>Sections of formalin-fixed, paraffin-embedded livers were cut at a 4 µm thickness and stained with hematoxylin and eosin (H&amp;E) or immunohistochemically stained with carbonic anhydrase 9 (CA9). The H&amp;E stained sections were blindly examined for tumors and classified as defined by Thoolen et al. as either cellular lesion, adenoma, or carcinoma by an independent veterinary pathologist David Besselsen, DVM, Ph.D.</w:t>
      </w:r>
      <w:r w:rsidR="00A6755A">
        <w:rPr>
          <w:rFonts w:ascii="Arial" w:hAnsi="Arial" w:cs="Arial"/>
        </w:rPr>
        <w:t xml:space="preserve"> </w:t>
      </w:r>
      <w:r w:rsidR="00A6755A">
        <w:rPr>
          <w:rFonts w:ascii="Arial" w:hAnsi="Arial" w:cs="Arial"/>
          <w:vertAlign w:val="superscript"/>
        </w:rPr>
        <w:t>1</w:t>
      </w:r>
      <w:r>
        <w:rPr>
          <w:rFonts w:ascii="Arial" w:hAnsi="Arial" w:cs="Arial"/>
        </w:rPr>
        <w:t>. Slides were scanned and imaged on an Aperio A2 slide scanner from Leica (Buffalo Grove, IL). Quantification of percent liver fat was determined using Tissue Studio 4.4.2 software (Definiens, Cambridge, MA). Percent liver fat was measured by eliminating general white space, large holes, and tissue edges, leaving behind fat vacuoles which were subtracted from the remaining tissue area. CA9 stains were quantitatively analyzed using the immunoreactivity scoring (IRS) system</w:t>
      </w:r>
      <w:r w:rsidR="00A6755A">
        <w:rPr>
          <w:rFonts w:ascii="Arial" w:hAnsi="Arial" w:cs="Arial"/>
        </w:rPr>
        <w:t xml:space="preserve"> </w:t>
      </w:r>
      <w:r w:rsidR="00A6755A">
        <w:rPr>
          <w:rFonts w:ascii="Arial" w:hAnsi="Arial" w:cs="Arial"/>
          <w:vertAlign w:val="superscript"/>
        </w:rPr>
        <w:t>2</w:t>
      </w:r>
      <w:r>
        <w:rPr>
          <w:rFonts w:ascii="Arial" w:hAnsi="Arial" w:cs="Arial"/>
        </w:rPr>
        <w:t xml:space="preserve">.  </w:t>
      </w:r>
    </w:p>
    <w:p w14:paraId="12AAC401" w14:textId="3C2E2392" w:rsidR="00CC338A" w:rsidRDefault="00CC338A" w:rsidP="002E60D8">
      <w:pPr>
        <w:spacing w:line="480" w:lineRule="auto"/>
        <w:rPr>
          <w:rFonts w:ascii="Arial" w:hAnsi="Arial" w:cs="Arial"/>
        </w:rPr>
      </w:pPr>
    </w:p>
    <w:p w14:paraId="72C867FD" w14:textId="7543C901" w:rsidR="00A6755A" w:rsidRPr="00D026DB" w:rsidRDefault="00D026DB" w:rsidP="002E60D8">
      <w:pPr>
        <w:spacing w:line="480" w:lineRule="auto"/>
        <w:rPr>
          <w:rFonts w:ascii="Arial" w:hAnsi="Arial" w:cs="Arial"/>
          <w:b/>
        </w:rPr>
      </w:pPr>
      <w:r w:rsidRPr="00D026DB">
        <w:rPr>
          <w:rFonts w:ascii="Arial" w:hAnsi="Arial" w:cs="Arial"/>
          <w:b/>
        </w:rPr>
        <w:lastRenderedPageBreak/>
        <w:t>Bibliography</w:t>
      </w:r>
    </w:p>
    <w:p w14:paraId="1A245072" w14:textId="5E6C8C8B" w:rsidR="00D026DB" w:rsidRPr="00D026DB" w:rsidRDefault="00D026DB" w:rsidP="00D026DB">
      <w:pPr>
        <w:widowControl w:val="0"/>
        <w:autoSpaceDE w:val="0"/>
        <w:autoSpaceDN w:val="0"/>
        <w:adjustRightInd w:val="0"/>
        <w:spacing w:line="480" w:lineRule="auto"/>
        <w:ind w:left="640" w:hanging="640"/>
        <w:rPr>
          <w:rFonts w:ascii="Arial" w:hAnsi="Arial" w:cs="Arial"/>
          <w:noProof/>
        </w:rPr>
      </w:pPr>
      <w:r>
        <w:rPr>
          <w:rFonts w:ascii="Arial" w:hAnsi="Arial" w:cs="Arial"/>
        </w:rPr>
        <w:fldChar w:fldCharType="begin" w:fldLock="1"/>
      </w:r>
      <w:r>
        <w:rPr>
          <w:rFonts w:ascii="Arial" w:hAnsi="Arial" w:cs="Arial"/>
        </w:rPr>
        <w:instrText xml:space="preserve">ADDIN Mendeley Bibliography CSL_BIBLIOGRAPHY </w:instrText>
      </w:r>
      <w:r>
        <w:rPr>
          <w:rFonts w:ascii="Arial" w:hAnsi="Arial" w:cs="Arial"/>
        </w:rPr>
        <w:fldChar w:fldCharType="separate"/>
      </w:r>
      <w:r w:rsidRPr="00D026DB">
        <w:rPr>
          <w:rFonts w:ascii="Arial" w:hAnsi="Arial" w:cs="Arial"/>
          <w:noProof/>
        </w:rPr>
        <w:t>1.</w:t>
      </w:r>
      <w:r w:rsidRPr="00D026DB">
        <w:rPr>
          <w:rFonts w:ascii="Arial" w:hAnsi="Arial" w:cs="Arial"/>
          <w:noProof/>
        </w:rPr>
        <w:tab/>
        <w:t xml:space="preserve">Thoolen B, Maronpot RR, Harada T, Nyska A, Rousseaux C, Nolte T, Malarkey DE, Kaufmann W, Ku¨ttler K, Ku¨ttler K, Deschl U, Nakae D, Gregson R, Vinlove MP, Brix AE, Singh B, Belpoggi F, Ward JM. Proliferative and Nonproliferative Lesions of the Rat and Mouse Hepatobiliary System. </w:t>
      </w:r>
      <w:r w:rsidRPr="00D026DB">
        <w:rPr>
          <w:rFonts w:ascii="Arial" w:hAnsi="Arial" w:cs="Arial"/>
          <w:i/>
          <w:iCs/>
          <w:noProof/>
        </w:rPr>
        <w:t>Toxicol Pathol</w:t>
      </w:r>
      <w:r w:rsidRPr="00D026DB">
        <w:rPr>
          <w:rFonts w:ascii="Arial" w:hAnsi="Arial" w:cs="Arial"/>
          <w:noProof/>
        </w:rPr>
        <w:t xml:space="preserve"> 2010;38:5–81.</w:t>
      </w:r>
    </w:p>
    <w:p w14:paraId="7E2ED9DC" w14:textId="77777777" w:rsidR="00D026DB" w:rsidRPr="00D026DB" w:rsidRDefault="00D026DB" w:rsidP="00D026DB">
      <w:pPr>
        <w:widowControl w:val="0"/>
        <w:autoSpaceDE w:val="0"/>
        <w:autoSpaceDN w:val="0"/>
        <w:adjustRightInd w:val="0"/>
        <w:spacing w:line="480" w:lineRule="auto"/>
        <w:ind w:left="640" w:hanging="640"/>
        <w:rPr>
          <w:rFonts w:ascii="Arial" w:hAnsi="Arial" w:cs="Arial"/>
          <w:noProof/>
        </w:rPr>
      </w:pPr>
      <w:r w:rsidRPr="00D026DB">
        <w:rPr>
          <w:rFonts w:ascii="Arial" w:hAnsi="Arial" w:cs="Arial"/>
          <w:noProof/>
        </w:rPr>
        <w:t>2.</w:t>
      </w:r>
      <w:r w:rsidRPr="00D026DB">
        <w:rPr>
          <w:rFonts w:ascii="Arial" w:hAnsi="Arial" w:cs="Arial"/>
          <w:noProof/>
        </w:rPr>
        <w:tab/>
        <w:t xml:space="preserve">Naipal KAT, Raams A, Bruens ST, Brandsma I, Verkaik NS, Jaspers NGJ, Hoeijmakers JHJ, van Leenders GJLH, Pothof J, Kanaar R, Boormans J, van Gent DC. Attenuated XPC Expression Is Not Associated with Impaired DNA Repair in Bladder Cancer. In: Borgmann K, editor. </w:t>
      </w:r>
      <w:r w:rsidRPr="00D026DB">
        <w:rPr>
          <w:rFonts w:ascii="Arial" w:hAnsi="Arial" w:cs="Arial"/>
          <w:i/>
          <w:iCs/>
          <w:noProof/>
        </w:rPr>
        <w:t>PLoS One</w:t>
      </w:r>
      <w:r w:rsidRPr="00D026DB">
        <w:rPr>
          <w:rFonts w:ascii="Arial" w:hAnsi="Arial" w:cs="Arial"/>
          <w:noProof/>
        </w:rPr>
        <w:t xml:space="preserve"> 2015;10:e0126029.</w:t>
      </w:r>
    </w:p>
    <w:p w14:paraId="76A2E558" w14:textId="4FFBBBC4" w:rsidR="0036144D" w:rsidRDefault="00D026DB" w:rsidP="002E60D8">
      <w:pPr>
        <w:spacing w:line="480" w:lineRule="auto"/>
        <w:rPr>
          <w:rFonts w:ascii="Arial" w:hAnsi="Arial" w:cs="Arial"/>
        </w:rPr>
      </w:pPr>
      <w:r>
        <w:rPr>
          <w:rFonts w:ascii="Arial" w:hAnsi="Arial" w:cs="Arial"/>
        </w:rPr>
        <w:fldChar w:fldCharType="end"/>
      </w:r>
    </w:p>
    <w:p w14:paraId="31EF3258" w14:textId="672FEFFE" w:rsidR="00143EEB" w:rsidRPr="00A6755A" w:rsidRDefault="00143EEB" w:rsidP="00143EEB">
      <w:pPr>
        <w:pageBreakBefore/>
        <w:rPr>
          <w:rFonts w:ascii="Arial" w:hAnsi="Arial" w:cs="Arial"/>
          <w:b/>
          <w:sz w:val="32"/>
          <w:szCs w:val="32"/>
        </w:rPr>
      </w:pPr>
      <w:r>
        <w:rPr>
          <w:rFonts w:ascii="Arial" w:hAnsi="Arial" w:cs="Arial"/>
          <w:b/>
          <w:sz w:val="32"/>
          <w:szCs w:val="32"/>
        </w:rPr>
        <w:lastRenderedPageBreak/>
        <w:t>Supplement Figures</w:t>
      </w:r>
    </w:p>
    <w:p w14:paraId="3B60FFD3" w14:textId="77777777" w:rsidR="002E60D8" w:rsidRDefault="002E60D8" w:rsidP="002E60D8">
      <w:pPr>
        <w:spacing w:line="480" w:lineRule="auto"/>
        <w:rPr>
          <w:rFonts w:ascii="Arial" w:hAnsi="Arial" w:cs="Arial"/>
        </w:rPr>
      </w:pPr>
    </w:p>
    <w:p w14:paraId="118EB8D5" w14:textId="22ACEA1C" w:rsidR="00D521DB" w:rsidRDefault="00143EEB">
      <w:r w:rsidRPr="00143EEB">
        <w:rPr>
          <w:noProof/>
        </w:rPr>
        <w:drawing>
          <wp:inline distT="0" distB="0" distL="0" distR="0" wp14:anchorId="56AAAB21" wp14:editId="3A5F3A28">
            <wp:extent cx="2286000" cy="1828800"/>
            <wp:effectExtent l="0" t="0" r="0" b="0"/>
            <wp:docPr id="1" name="Chart 1">
              <a:extLst xmlns:a="http://schemas.openxmlformats.org/drawingml/2006/main">
                <a:ext uri="{FF2B5EF4-FFF2-40B4-BE49-F238E27FC236}">
                  <a16:creationId xmlns:a16="http://schemas.microsoft.com/office/drawing/2014/main" id="{1F9AB17D-8117-074C-AC24-60718A0E11DE}"/>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5"/>
              </a:graphicData>
            </a:graphic>
          </wp:inline>
        </w:drawing>
      </w:r>
    </w:p>
    <w:p w14:paraId="3D2170C2" w14:textId="3516DA8F" w:rsidR="00143EEB" w:rsidRDefault="00143EEB" w:rsidP="00143EEB">
      <w:pPr>
        <w:spacing w:line="360" w:lineRule="auto"/>
        <w:jc w:val="both"/>
        <w:rPr>
          <w:rFonts w:ascii="Arial" w:hAnsi="Arial" w:cs="Arial"/>
          <w:color w:val="000000"/>
        </w:rPr>
      </w:pPr>
      <w:r>
        <w:rPr>
          <w:rFonts w:ascii="Arial" w:hAnsi="Arial" w:cs="Arial"/>
          <w:b/>
          <w:color w:val="000000"/>
        </w:rPr>
        <w:t xml:space="preserve">Supplemental Figure E1. </w:t>
      </w:r>
      <w:r>
        <w:rPr>
          <w:rFonts w:ascii="Arial" w:hAnsi="Arial" w:cs="Arial"/>
          <w:color w:val="000000"/>
        </w:rPr>
        <w:t>A four-week random sample of chow consumption between D+P+HF and D+P+Hx+HF mice. Chow consumption was determined by weighing the chow prior to placement in the bin and subtracting the remaining chow plus the chow lost in the cage. The food consumption was averaged and compared between the two groups.  Asterisks indicate a significant difference between compared groups (**p ≤ 0.01). N ≥ 3 mice per group.</w:t>
      </w:r>
    </w:p>
    <w:p w14:paraId="48CB8062" w14:textId="77777777" w:rsidR="00143EEB" w:rsidRDefault="00143EEB" w:rsidP="00143EEB">
      <w:pPr>
        <w:spacing w:line="360" w:lineRule="auto"/>
        <w:jc w:val="both"/>
        <w:rPr>
          <w:rFonts w:ascii="Arial" w:hAnsi="Arial" w:cs="Arial"/>
          <w:color w:val="000000"/>
        </w:rPr>
      </w:pPr>
    </w:p>
    <w:p w14:paraId="5E9DF3C9" w14:textId="77777777" w:rsidR="00143EEB" w:rsidRDefault="00143EEB"/>
    <w:p w14:paraId="257D517B" w14:textId="324C54C5" w:rsidR="00143EEB" w:rsidRDefault="00143EEB">
      <w:r w:rsidRPr="00143EEB">
        <w:rPr>
          <w:noProof/>
        </w:rPr>
        <w:drawing>
          <wp:inline distT="0" distB="0" distL="0" distR="0" wp14:anchorId="3EF37C45" wp14:editId="4F38A8FF">
            <wp:extent cx="2286000" cy="1828800"/>
            <wp:effectExtent l="0" t="0" r="0" b="0"/>
            <wp:docPr id="2" name="Chart 2">
              <a:extLst xmlns:a="http://schemas.openxmlformats.org/drawingml/2006/main">
                <a:ext uri="{FF2B5EF4-FFF2-40B4-BE49-F238E27FC236}">
                  <a16:creationId xmlns:a16="http://schemas.microsoft.com/office/drawing/2014/main" id="{79FD6B3C-62E5-6F4B-88FD-FD82356AD541}"/>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6"/>
              </a:graphicData>
            </a:graphic>
          </wp:inline>
        </w:drawing>
      </w:r>
    </w:p>
    <w:p w14:paraId="14F15B94" w14:textId="77777777" w:rsidR="00143EEB" w:rsidRDefault="00143EEB" w:rsidP="00143EEB">
      <w:pPr>
        <w:spacing w:line="360" w:lineRule="auto"/>
        <w:jc w:val="both"/>
      </w:pPr>
      <w:bookmarkStart w:id="1" w:name="OLE_LINK1"/>
      <w:r>
        <w:rPr>
          <w:rFonts w:ascii="Arial" w:hAnsi="Arial" w:cs="Arial"/>
          <w:b/>
          <w:color w:val="000000"/>
        </w:rPr>
        <w:t>Supplemental Figure E2.</w:t>
      </w:r>
      <w:r>
        <w:rPr>
          <w:rFonts w:ascii="Arial" w:hAnsi="Arial" w:cs="Arial"/>
          <w:color w:val="000000"/>
        </w:rPr>
        <w:t xml:space="preserve"> At 48 weeks control, D+P, D+P+Hx, D+P+HF, and D+P+Hx+HF mice were euthanized, and the livers were harvested. The number of suspicious lesions per mouse for control, D+P, D+P+Hx, D+P+HF, and D+P+Hx+HF mice were determined. The average number of lesions that were &lt;3mm (black bars) and &gt;3mm (gray bars) is shown.</w:t>
      </w:r>
      <w:bookmarkEnd w:id="1"/>
    </w:p>
    <w:p w14:paraId="355CD2FF" w14:textId="77777777" w:rsidR="00143EEB" w:rsidRDefault="00143EEB"/>
    <w:sectPr w:rsidR="00143EEB" w:rsidSect="00782549">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E60D8"/>
    <w:rsid w:val="000B11F2"/>
    <w:rsid w:val="00136275"/>
    <w:rsid w:val="00143EEB"/>
    <w:rsid w:val="00173424"/>
    <w:rsid w:val="00234CBF"/>
    <w:rsid w:val="00284691"/>
    <w:rsid w:val="002D1DFE"/>
    <w:rsid w:val="002E1C17"/>
    <w:rsid w:val="002E60D8"/>
    <w:rsid w:val="0036144D"/>
    <w:rsid w:val="00386E13"/>
    <w:rsid w:val="005B5D2D"/>
    <w:rsid w:val="005C5AED"/>
    <w:rsid w:val="00660520"/>
    <w:rsid w:val="006F54B6"/>
    <w:rsid w:val="00705E6A"/>
    <w:rsid w:val="0072296E"/>
    <w:rsid w:val="00782549"/>
    <w:rsid w:val="0080053C"/>
    <w:rsid w:val="00803563"/>
    <w:rsid w:val="0081699C"/>
    <w:rsid w:val="00846290"/>
    <w:rsid w:val="00847339"/>
    <w:rsid w:val="00942DBA"/>
    <w:rsid w:val="00984825"/>
    <w:rsid w:val="00A6755A"/>
    <w:rsid w:val="00A77341"/>
    <w:rsid w:val="00B31570"/>
    <w:rsid w:val="00CC338A"/>
    <w:rsid w:val="00D026DB"/>
    <w:rsid w:val="00D732A6"/>
    <w:rsid w:val="00DF25FC"/>
    <w:rsid w:val="00ED497C"/>
    <w:rsid w:val="00EF056E"/>
    <w:rsid w:val="00FB7AF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8BAA15D"/>
  <w15:chartTrackingRefBased/>
  <w15:docId w15:val="{F9C512BF-43B0-DB43-862B-B87316D6EE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sdException w:name="Smart Link Error" w:semiHidden="1" w:unhideWhenUsed="1"/>
  </w:latentStyles>
  <w:style w:type="paragraph" w:default="1" w:styleId="Normal">
    <w:name w:val="Normal"/>
    <w:qFormat/>
    <w:rsid w:val="002E60D8"/>
    <w:pPr>
      <w:suppressAutoHyphens/>
    </w:pPr>
    <w:rPr>
      <w:rFonts w:ascii="Calibri" w:eastAsia="SimSun" w:hAnsi="Calibri" w:cs="Calibri"/>
      <w:lang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143EEB"/>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143EEB"/>
    <w:rPr>
      <w:rFonts w:ascii="Times New Roman" w:eastAsia="SimSun" w:hAnsi="Times New Roman" w:cs="Times New Roman"/>
      <w:sz w:val="18"/>
      <w:szCs w:val="18"/>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chart" Target="charts/chart2.xml"/><Relationship Id="rId5" Type="http://schemas.openxmlformats.org/officeDocument/2006/relationships/chart" Target="charts/chart1.xml"/><Relationship Id="rId4" Type="http://schemas.openxmlformats.org/officeDocument/2006/relationships/webSettings" Target="webSettings.xml"/></Relationships>
</file>

<file path=word/charts/_rels/chart1.xml.rels><?xml version="1.0" encoding="UTF-8" standalone="yes"?>
<Relationships xmlns="http://schemas.openxmlformats.org/package/2006/relationships"><Relationship Id="rId3" Type="http://schemas.openxmlformats.org/officeDocument/2006/relationships/oleObject" Target="file:///\\Users\nathansweeney\Documents\MAR020\Food%20Consumption%202016.xlsx" TargetMode="External"/><Relationship Id="rId2" Type="http://schemas.microsoft.com/office/2011/relationships/chartColorStyle" Target="colors1.xml"/><Relationship Id="rId1" Type="http://schemas.microsoft.com/office/2011/relationships/chartStyle" Target="style1.xml"/><Relationship Id="rId4" Type="http://schemas.openxmlformats.org/officeDocument/2006/relationships/chartUserShapes" Target="../drawings/drawing1.xml"/></Relationships>
</file>

<file path=word/charts/_rels/chart2.xml.rels><?xml version="1.0" encoding="UTF-8" standalone="yes"?>
<Relationships xmlns="http://schemas.openxmlformats.org/package/2006/relationships"><Relationship Id="rId3" Type="http://schemas.openxmlformats.org/officeDocument/2006/relationships/oleObject" Target="file:///\\Users\nathansweeney\Documents\MAR020\Data.xlsx" TargetMode="External"/><Relationship Id="rId2" Type="http://schemas.microsoft.com/office/2011/relationships/chartColorStyle" Target="colors2.xml"/><Relationship Id="rId1" Type="http://schemas.microsoft.com/office/2011/relationships/chartStyle" Target="style2.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40251881014873142"/>
          <c:y val="7.6762826171392254E-2"/>
          <c:w val="0.53637007874015752"/>
          <c:h val="0.55311527763065493"/>
        </c:manualLayout>
      </c:layout>
      <c:barChart>
        <c:barDir val="col"/>
        <c:grouping val="clustered"/>
        <c:varyColors val="0"/>
        <c:ser>
          <c:idx val="0"/>
          <c:order val="0"/>
          <c:spPr>
            <a:solidFill>
              <a:schemeClr val="tx1"/>
            </a:solidFill>
            <a:ln>
              <a:noFill/>
            </a:ln>
            <a:effectLst/>
          </c:spPr>
          <c:invertIfNegative val="0"/>
          <c:errBars>
            <c:errBarType val="plus"/>
            <c:errValType val="cust"/>
            <c:noEndCap val="0"/>
            <c:plus>
              <c:numRef>
                <c:f>Sheet1!$X$47:$X$48</c:f>
                <c:numCache>
                  <c:formatCode>General</c:formatCode>
                  <c:ptCount val="2"/>
                  <c:pt idx="0">
                    <c:v>2.916779045454077</c:v>
                  </c:pt>
                  <c:pt idx="1">
                    <c:v>1.2741009902410954</c:v>
                  </c:pt>
                </c:numCache>
              </c:numRef>
            </c:plus>
            <c:minus>
              <c:numLit>
                <c:formatCode>General</c:formatCode>
                <c:ptCount val="1"/>
                <c:pt idx="0">
                  <c:v>1</c:v>
                </c:pt>
              </c:numLit>
            </c:minus>
            <c:spPr>
              <a:noFill/>
              <a:ln w="12700" cap="flat" cmpd="sng" algn="ctr">
                <a:solidFill>
                  <a:schemeClr val="tx1"/>
                </a:solidFill>
                <a:round/>
              </a:ln>
              <a:effectLst/>
            </c:spPr>
          </c:errBars>
          <c:cat>
            <c:strRef>
              <c:f>Sheet1!$V$47:$V$48</c:f>
              <c:strCache>
                <c:ptCount val="2"/>
                <c:pt idx="0">
                  <c:v>D+P+HF</c:v>
                </c:pt>
                <c:pt idx="1">
                  <c:v>D+P+Hx+HF</c:v>
                </c:pt>
              </c:strCache>
            </c:strRef>
          </c:cat>
          <c:val>
            <c:numRef>
              <c:f>Sheet1!$W$47:$W$48</c:f>
              <c:numCache>
                <c:formatCode>General</c:formatCode>
                <c:ptCount val="2"/>
                <c:pt idx="0">
                  <c:v>83.06</c:v>
                </c:pt>
                <c:pt idx="1">
                  <c:v>100.7</c:v>
                </c:pt>
              </c:numCache>
            </c:numRef>
          </c:val>
          <c:extLst>
            <c:ext xmlns:c16="http://schemas.microsoft.com/office/drawing/2014/chart" uri="{C3380CC4-5D6E-409C-BE32-E72D297353CC}">
              <c16:uniqueId val="{00000000-6D18-2443-B2CC-1C9810D8F6FF}"/>
            </c:ext>
          </c:extLst>
        </c:ser>
        <c:dLbls>
          <c:showLegendKey val="0"/>
          <c:showVal val="0"/>
          <c:showCatName val="0"/>
          <c:showSerName val="0"/>
          <c:showPercent val="0"/>
          <c:showBubbleSize val="0"/>
        </c:dLbls>
        <c:gapWidth val="150"/>
        <c:overlap val="100"/>
        <c:axId val="1073140175"/>
        <c:axId val="1082863663"/>
      </c:barChart>
      <c:catAx>
        <c:axId val="1073140175"/>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800" b="1" i="0" u="none" strike="noStrike" kern="1200" baseline="0">
                <a:solidFill>
                  <a:schemeClr val="tx1"/>
                </a:solidFill>
                <a:latin typeface="Arial" panose="020B0604020202020204" pitchFamily="34" charset="0"/>
                <a:ea typeface="+mn-ea"/>
                <a:cs typeface="Arial" panose="020B0604020202020204" pitchFamily="34" charset="0"/>
              </a:defRPr>
            </a:pPr>
            <a:endParaRPr lang="en-US"/>
          </a:p>
        </c:txPr>
        <c:crossAx val="1082863663"/>
        <c:crosses val="autoZero"/>
        <c:auto val="1"/>
        <c:lblAlgn val="ctr"/>
        <c:lblOffset val="100"/>
        <c:noMultiLvlLbl val="0"/>
      </c:catAx>
      <c:valAx>
        <c:axId val="1082863663"/>
        <c:scaling>
          <c:orientation val="minMax"/>
        </c:scaling>
        <c:delete val="0"/>
        <c:axPos val="l"/>
        <c:title>
          <c:tx>
            <c:rich>
              <a:bodyPr rot="-5400000" spcFirstLastPara="1" vertOverflow="ellipsis" vert="horz" wrap="square" anchor="ctr" anchorCtr="1"/>
              <a:lstStyle/>
              <a:p>
                <a:pPr>
                  <a:defRPr sz="800" b="1" i="0" u="none" strike="noStrike" kern="1200" baseline="0">
                    <a:solidFill>
                      <a:schemeClr val="tx1"/>
                    </a:solidFill>
                    <a:latin typeface="Arial" panose="020B0604020202020204" pitchFamily="34" charset="0"/>
                    <a:ea typeface="+mn-ea"/>
                    <a:cs typeface="Arial" panose="020B0604020202020204" pitchFamily="34" charset="0"/>
                  </a:defRPr>
                </a:pPr>
                <a:r>
                  <a:rPr lang="en-US" sz="800" b="1" dirty="0">
                    <a:solidFill>
                      <a:schemeClr val="tx1"/>
                    </a:solidFill>
                    <a:latin typeface="Arial" panose="020B0604020202020204" pitchFamily="34" charset="0"/>
                    <a:cs typeface="Arial" panose="020B0604020202020204" pitchFamily="34" charset="0"/>
                  </a:rPr>
                  <a:t>Avg. chow consumed</a:t>
                </a:r>
                <a:r>
                  <a:rPr lang="en-US" sz="800" b="1" baseline="0" dirty="0">
                    <a:solidFill>
                      <a:schemeClr val="tx1"/>
                    </a:solidFill>
                    <a:latin typeface="Arial" panose="020B0604020202020204" pitchFamily="34" charset="0"/>
                    <a:cs typeface="Arial" panose="020B0604020202020204" pitchFamily="34" charset="0"/>
                  </a:rPr>
                  <a:t> (g)</a:t>
                </a:r>
                <a:endParaRPr lang="en-US" sz="800" b="1" dirty="0">
                  <a:solidFill>
                    <a:schemeClr val="tx1"/>
                  </a:solidFill>
                  <a:latin typeface="Arial" panose="020B0604020202020204" pitchFamily="34" charset="0"/>
                  <a:cs typeface="Arial" panose="020B0604020202020204" pitchFamily="34" charset="0"/>
                </a:endParaRPr>
              </a:p>
            </c:rich>
          </c:tx>
          <c:layout>
            <c:manualLayout>
              <c:xMode val="edge"/>
              <c:yMode val="edge"/>
              <c:x val="6.1111111111111109E-2"/>
              <c:y val="4.5621819694062898E-2"/>
            </c:manualLayout>
          </c:layout>
          <c:overlay val="0"/>
          <c:spPr>
            <a:noFill/>
            <a:ln>
              <a:noFill/>
            </a:ln>
            <a:effectLst/>
          </c:spPr>
          <c:txPr>
            <a:bodyPr rot="-5400000" spcFirstLastPara="1" vertOverflow="ellipsis" vert="horz" wrap="square" anchor="ctr" anchorCtr="1"/>
            <a:lstStyle/>
            <a:p>
              <a:pPr>
                <a:defRPr sz="800" b="1" i="0" u="none" strike="noStrike" kern="1200" baseline="0">
                  <a:solidFill>
                    <a:schemeClr val="tx1"/>
                  </a:solidFill>
                  <a:latin typeface="Arial" panose="020B0604020202020204" pitchFamily="34" charset="0"/>
                  <a:ea typeface="+mn-ea"/>
                  <a:cs typeface="Arial" panose="020B0604020202020204" pitchFamily="34" charset="0"/>
                </a:defRPr>
              </a:pPr>
              <a:endParaRPr lang="en-US"/>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800" b="1" i="0" u="none" strike="noStrike" kern="1200" baseline="0">
                <a:solidFill>
                  <a:schemeClr val="tx1"/>
                </a:solidFill>
                <a:latin typeface="+mn-lt"/>
                <a:ea typeface="+mn-ea"/>
                <a:cs typeface="+mn-cs"/>
              </a:defRPr>
            </a:pPr>
            <a:endParaRPr lang="en-US"/>
          </a:p>
        </c:txPr>
        <c:crossAx val="1073140175"/>
        <c:crosses val="autoZero"/>
        <c:crossBetween val="between"/>
        <c:majorUnit val="40"/>
      </c:valAx>
      <c:spPr>
        <a:noFill/>
        <a:ln>
          <a:noFill/>
        </a:ln>
        <a:effectLst/>
      </c:spPr>
    </c:plotArea>
    <c:plotVisOnly val="1"/>
    <c:dispBlanksAs val="gap"/>
    <c:showDLblsOverMax val="0"/>
  </c:chart>
  <c:spPr>
    <a:solidFill>
      <a:schemeClr val="bg1"/>
    </a:solidFill>
    <a:ln w="9525" cap="flat" cmpd="sng" algn="ctr">
      <a:noFill/>
      <a:round/>
    </a:ln>
    <a:effectLst/>
  </c:spPr>
  <c:txPr>
    <a:bodyPr/>
    <a:lstStyle/>
    <a:p>
      <a:pPr>
        <a:defRPr/>
      </a:pPr>
      <a:endParaRPr lang="en-US"/>
    </a:p>
  </c:txPr>
  <c:externalData r:id="rId3">
    <c:autoUpdate val="0"/>
  </c:externalData>
  <c:userShapes r:id="rId4"/>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28696325459317584"/>
          <c:y val="6.7901234567901231E-2"/>
          <c:w val="0.65192563429571304"/>
          <c:h val="0.53552201808107325"/>
        </c:manualLayout>
      </c:layout>
      <c:barChart>
        <c:barDir val="col"/>
        <c:grouping val="stacked"/>
        <c:varyColors val="0"/>
        <c:ser>
          <c:idx val="0"/>
          <c:order val="0"/>
          <c:tx>
            <c:strRef>
              <c:f>'Tumor Multiplicity'!$O$22</c:f>
              <c:strCache>
                <c:ptCount val="1"/>
                <c:pt idx="0">
                  <c:v>&lt; 3mm</c:v>
                </c:pt>
              </c:strCache>
            </c:strRef>
          </c:tx>
          <c:spPr>
            <a:solidFill>
              <a:schemeClr val="tx1"/>
            </a:solidFill>
            <a:ln>
              <a:noFill/>
            </a:ln>
            <a:effectLst/>
          </c:spPr>
          <c:invertIfNegative val="0"/>
          <c:cat>
            <c:strRef>
              <c:f>'Tumor Multiplicity'!$N$24:$N$27</c:f>
              <c:strCache>
                <c:ptCount val="4"/>
                <c:pt idx="0">
                  <c:v>D+P</c:v>
                </c:pt>
                <c:pt idx="1">
                  <c:v>D+P+Hx</c:v>
                </c:pt>
                <c:pt idx="2">
                  <c:v>D+P+HF</c:v>
                </c:pt>
                <c:pt idx="3">
                  <c:v>D+P+Hx+HF</c:v>
                </c:pt>
              </c:strCache>
            </c:strRef>
          </c:cat>
          <c:val>
            <c:numRef>
              <c:f>'Tumor Multiplicity'!$O$24:$O$27</c:f>
              <c:numCache>
                <c:formatCode>General</c:formatCode>
                <c:ptCount val="4"/>
                <c:pt idx="0">
                  <c:v>1.6666666666666667</c:v>
                </c:pt>
                <c:pt idx="1">
                  <c:v>2.25</c:v>
                </c:pt>
                <c:pt idx="2">
                  <c:v>3.4</c:v>
                </c:pt>
                <c:pt idx="3">
                  <c:v>6.4</c:v>
                </c:pt>
              </c:numCache>
            </c:numRef>
          </c:val>
          <c:extLst>
            <c:ext xmlns:c16="http://schemas.microsoft.com/office/drawing/2014/chart" uri="{C3380CC4-5D6E-409C-BE32-E72D297353CC}">
              <c16:uniqueId val="{00000000-D01E-2A40-AFF7-788CCA40F85D}"/>
            </c:ext>
          </c:extLst>
        </c:ser>
        <c:ser>
          <c:idx val="1"/>
          <c:order val="1"/>
          <c:tx>
            <c:strRef>
              <c:f>'Tumor Multiplicity'!$P$22</c:f>
              <c:strCache>
                <c:ptCount val="1"/>
                <c:pt idx="0">
                  <c:v>&gt; 3mm</c:v>
                </c:pt>
              </c:strCache>
            </c:strRef>
          </c:tx>
          <c:spPr>
            <a:solidFill>
              <a:schemeClr val="bg1">
                <a:lumMod val="75000"/>
              </a:schemeClr>
            </a:solidFill>
            <a:ln>
              <a:noFill/>
            </a:ln>
            <a:effectLst/>
          </c:spPr>
          <c:invertIfNegative val="0"/>
          <c:cat>
            <c:strRef>
              <c:f>'Tumor Multiplicity'!$N$24:$N$27</c:f>
              <c:strCache>
                <c:ptCount val="4"/>
                <c:pt idx="0">
                  <c:v>D+P</c:v>
                </c:pt>
                <c:pt idx="1">
                  <c:v>D+P+Hx</c:v>
                </c:pt>
                <c:pt idx="2">
                  <c:v>D+P+HF</c:v>
                </c:pt>
                <c:pt idx="3">
                  <c:v>D+P+Hx+HF</c:v>
                </c:pt>
              </c:strCache>
            </c:strRef>
          </c:cat>
          <c:val>
            <c:numRef>
              <c:f>'Tumor Multiplicity'!$P$24:$P$27</c:f>
              <c:numCache>
                <c:formatCode>General</c:formatCode>
                <c:ptCount val="4"/>
                <c:pt idx="0">
                  <c:v>0</c:v>
                </c:pt>
                <c:pt idx="1">
                  <c:v>0</c:v>
                </c:pt>
                <c:pt idx="2">
                  <c:v>1.4</c:v>
                </c:pt>
                <c:pt idx="3">
                  <c:v>1.4</c:v>
                </c:pt>
              </c:numCache>
            </c:numRef>
          </c:val>
          <c:extLst>
            <c:ext xmlns:c16="http://schemas.microsoft.com/office/drawing/2014/chart" uri="{C3380CC4-5D6E-409C-BE32-E72D297353CC}">
              <c16:uniqueId val="{00000001-D01E-2A40-AFF7-788CCA40F85D}"/>
            </c:ext>
          </c:extLst>
        </c:ser>
        <c:dLbls>
          <c:showLegendKey val="0"/>
          <c:showVal val="0"/>
          <c:showCatName val="0"/>
          <c:showSerName val="0"/>
          <c:showPercent val="0"/>
          <c:showBubbleSize val="0"/>
        </c:dLbls>
        <c:gapWidth val="150"/>
        <c:overlap val="100"/>
        <c:axId val="685054272"/>
        <c:axId val="685056592"/>
      </c:barChart>
      <c:catAx>
        <c:axId val="68505427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800" b="1" i="0" u="none" strike="noStrike" kern="1200" baseline="0">
                <a:solidFill>
                  <a:schemeClr val="tx1"/>
                </a:solidFill>
                <a:latin typeface="Arial" panose="020B0604020202020204" pitchFamily="34" charset="0"/>
                <a:ea typeface="+mn-ea"/>
                <a:cs typeface="Arial" panose="020B0604020202020204" pitchFamily="34" charset="0"/>
              </a:defRPr>
            </a:pPr>
            <a:endParaRPr lang="en-US"/>
          </a:p>
        </c:txPr>
        <c:crossAx val="685056592"/>
        <c:crosses val="autoZero"/>
        <c:auto val="1"/>
        <c:lblAlgn val="ctr"/>
        <c:lblOffset val="100"/>
        <c:noMultiLvlLbl val="0"/>
      </c:catAx>
      <c:valAx>
        <c:axId val="685056592"/>
        <c:scaling>
          <c:orientation val="minMax"/>
          <c:max val="8"/>
        </c:scaling>
        <c:delete val="0"/>
        <c:axPos val="l"/>
        <c:title>
          <c:tx>
            <c:rich>
              <a:bodyPr rot="-5400000" spcFirstLastPara="1" vertOverflow="ellipsis" vert="horz" wrap="square" anchor="ctr" anchorCtr="1"/>
              <a:lstStyle/>
              <a:p>
                <a:pPr>
                  <a:defRPr sz="800" b="1" i="0" u="none" strike="noStrike" kern="1200" baseline="0">
                    <a:solidFill>
                      <a:schemeClr val="tx1"/>
                    </a:solidFill>
                    <a:latin typeface="+mn-lt"/>
                    <a:ea typeface="+mn-ea"/>
                    <a:cs typeface="+mn-cs"/>
                  </a:defRPr>
                </a:pPr>
                <a:r>
                  <a:rPr lang="en-US" sz="800" b="1" dirty="0">
                    <a:solidFill>
                      <a:schemeClr val="tx1"/>
                    </a:solidFill>
                    <a:latin typeface="Arial" panose="020B0604020202020204" pitchFamily="34" charset="0"/>
                    <a:cs typeface="Arial" panose="020B0604020202020204" pitchFamily="34" charset="0"/>
                  </a:rPr>
                  <a:t>Gross Pathology </a:t>
                </a:r>
              </a:p>
              <a:p>
                <a:pPr>
                  <a:defRPr sz="800" b="1">
                    <a:solidFill>
                      <a:schemeClr val="tx1"/>
                    </a:solidFill>
                  </a:defRPr>
                </a:pPr>
                <a:r>
                  <a:rPr lang="en-US" sz="800" b="1" dirty="0">
                    <a:solidFill>
                      <a:schemeClr val="tx1"/>
                    </a:solidFill>
                    <a:latin typeface="Arial" panose="020B0604020202020204" pitchFamily="34" charset="0"/>
                    <a:cs typeface="Arial" panose="020B0604020202020204" pitchFamily="34" charset="0"/>
                  </a:rPr>
                  <a:t>Lesions</a:t>
                </a:r>
              </a:p>
            </c:rich>
          </c:tx>
          <c:layout>
            <c:manualLayout>
              <c:xMode val="edge"/>
              <c:yMode val="edge"/>
              <c:x val="3.3333333333333333E-2"/>
              <c:y val="5.4784193642461357E-2"/>
            </c:manualLayout>
          </c:layout>
          <c:overlay val="0"/>
          <c:spPr>
            <a:noFill/>
            <a:ln>
              <a:noFill/>
            </a:ln>
            <a:effectLst/>
          </c:spPr>
          <c:txPr>
            <a:bodyPr rot="-5400000" spcFirstLastPara="1" vertOverflow="ellipsis" vert="horz" wrap="square" anchor="ctr" anchorCtr="1"/>
            <a:lstStyle/>
            <a:p>
              <a:pPr>
                <a:defRPr sz="800" b="1" i="0" u="none" strike="noStrike" kern="1200" baseline="0">
                  <a:solidFill>
                    <a:schemeClr val="tx1"/>
                  </a:solidFill>
                  <a:latin typeface="+mn-lt"/>
                  <a:ea typeface="+mn-ea"/>
                  <a:cs typeface="+mn-cs"/>
                </a:defRPr>
              </a:pPr>
              <a:endParaRPr lang="en-US"/>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800" b="1" i="0" u="none" strike="noStrike" kern="1200" baseline="0">
                <a:solidFill>
                  <a:schemeClr val="tx1"/>
                </a:solidFill>
                <a:latin typeface="Arial" panose="020B0604020202020204" pitchFamily="34" charset="0"/>
                <a:ea typeface="+mn-ea"/>
                <a:cs typeface="Arial" panose="020B0604020202020204" pitchFamily="34" charset="0"/>
              </a:defRPr>
            </a:pPr>
            <a:endParaRPr lang="en-US"/>
          </a:p>
        </c:txPr>
        <c:crossAx val="685054272"/>
        <c:crosses val="autoZero"/>
        <c:crossBetween val="between"/>
        <c:majorUnit val="2"/>
      </c:valAx>
      <c:spPr>
        <a:noFill/>
        <a:ln>
          <a:noFill/>
        </a:ln>
        <a:effectLst/>
      </c:spPr>
    </c:plotArea>
    <c:legend>
      <c:legendPos val="b"/>
      <c:layout>
        <c:manualLayout>
          <c:xMode val="edge"/>
          <c:yMode val="edge"/>
          <c:x val="0.29239799431540697"/>
          <c:y val="5.7038820687912474E-2"/>
          <c:w val="0.44986045494313209"/>
          <c:h val="0.16344385221576452"/>
        </c:manualLayout>
      </c:layout>
      <c:overlay val="1"/>
      <c:spPr>
        <a:noFill/>
        <a:ln>
          <a:noFill/>
        </a:ln>
        <a:effectLst/>
      </c:spPr>
      <c:txPr>
        <a:bodyPr rot="0" spcFirstLastPara="1" vertOverflow="ellipsis" vert="horz" wrap="square" anchor="ctr" anchorCtr="1"/>
        <a:lstStyle/>
        <a:p>
          <a:pPr>
            <a:defRPr sz="800" b="1" i="0" u="none" strike="noStrike" kern="1200" baseline="0">
              <a:solidFill>
                <a:schemeClr val="tx1"/>
              </a:solidFill>
              <a:latin typeface="Arial" panose="020B0604020202020204" pitchFamily="34" charset="0"/>
              <a:ea typeface="+mn-ea"/>
              <a:cs typeface="Arial" panose="020B0604020202020204" pitchFamily="34" charset="0"/>
            </a:defRPr>
          </a:pPr>
          <a:endParaRPr lang="en-US"/>
        </a:p>
      </c:txPr>
    </c:legend>
    <c:plotVisOnly val="1"/>
    <c:dispBlanksAs val="gap"/>
    <c:showDLblsOverMax val="0"/>
  </c:chart>
  <c:spPr>
    <a:solidFill>
      <a:schemeClr val="bg1"/>
    </a:solidFill>
    <a:ln w="9525" cap="flat" cmpd="sng" algn="ctr">
      <a:noFill/>
      <a:round/>
    </a:ln>
    <a:effectLst/>
  </c:spPr>
  <c:txPr>
    <a:bodyPr/>
    <a:lstStyle/>
    <a:p>
      <a:pPr>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drawings/drawing1.xml><?xml version="1.0" encoding="utf-8"?>
<c:userShapes xmlns:c="http://schemas.openxmlformats.org/drawingml/2006/chart">
  <cdr:relSizeAnchor xmlns:cdr="http://schemas.openxmlformats.org/drawingml/2006/chartDrawing">
    <cdr:from>
      <cdr:x>0.53554</cdr:x>
      <cdr:y>0.06006</cdr:y>
    </cdr:from>
    <cdr:to>
      <cdr:x>0.80619</cdr:x>
      <cdr:y>0.19459</cdr:y>
    </cdr:to>
    <cdr:grpSp>
      <cdr:nvGrpSpPr>
        <cdr:cNvPr id="6" name="Group 5">
          <a:extLst xmlns:a="http://schemas.openxmlformats.org/drawingml/2006/main">
            <a:ext uri="{FF2B5EF4-FFF2-40B4-BE49-F238E27FC236}">
              <a16:creationId xmlns:a16="http://schemas.microsoft.com/office/drawing/2014/main" id="{CC2BDB2C-EE9A-B449-AF95-557A0ABD7BB3}"/>
            </a:ext>
          </a:extLst>
        </cdr:cNvPr>
        <cdr:cNvGrpSpPr/>
      </cdr:nvGrpSpPr>
      <cdr:grpSpPr>
        <a:xfrm xmlns:a="http://schemas.openxmlformats.org/drawingml/2006/main">
          <a:off x="1224244" y="109838"/>
          <a:ext cx="618706" cy="246028"/>
          <a:chOff x="1513445" y="-3048342"/>
          <a:chExt cx="1357921" cy="369028"/>
        </a:xfrm>
      </cdr:grpSpPr>
      <cdr:cxnSp macro="">
        <cdr:nvCxnSpPr>
          <cdr:cNvPr id="7" name="Straight Connector 6">
            <a:extLst xmlns:a="http://schemas.openxmlformats.org/drawingml/2006/main">
              <a:ext uri="{FF2B5EF4-FFF2-40B4-BE49-F238E27FC236}">
                <a16:creationId xmlns:a16="http://schemas.microsoft.com/office/drawing/2014/main" id="{38B9713D-30EB-4D45-998E-1C843CDB0F75}"/>
              </a:ext>
            </a:extLst>
          </cdr:cNvPr>
          <cdr:cNvCxnSpPr>
            <a:cxnSpLocks xmlns:a="http://schemas.openxmlformats.org/drawingml/2006/main"/>
          </cdr:cNvCxnSpPr>
        </cdr:nvCxnSpPr>
        <cdr:spPr>
          <a:xfrm xmlns:a="http://schemas.openxmlformats.org/drawingml/2006/main" flipH="1">
            <a:off x="1520317" y="-3048342"/>
            <a:ext cx="4739" cy="369028"/>
          </a:xfrm>
          <a:prstGeom xmlns:a="http://schemas.openxmlformats.org/drawingml/2006/main" prst="line">
            <a:avLst/>
          </a:prstGeom>
          <a:ln xmlns:a="http://schemas.openxmlformats.org/drawingml/2006/main" w="12700">
            <a:solidFill>
              <a:schemeClr val="tx1"/>
            </a:solidFill>
          </a:ln>
        </cdr:spPr>
        <cdr:style>
          <a:lnRef xmlns:a="http://schemas.openxmlformats.org/drawingml/2006/main" idx="1">
            <a:schemeClr val="accent1"/>
          </a:lnRef>
          <a:fillRef xmlns:a="http://schemas.openxmlformats.org/drawingml/2006/main" idx="0">
            <a:schemeClr val="accent1"/>
          </a:fillRef>
          <a:effectRef xmlns:a="http://schemas.openxmlformats.org/drawingml/2006/main" idx="0">
            <a:schemeClr val="accent1"/>
          </a:effectRef>
          <a:fontRef xmlns:a="http://schemas.openxmlformats.org/drawingml/2006/main" idx="minor">
            <a:schemeClr val="tx1"/>
          </a:fontRef>
        </cdr:style>
      </cdr:cxnSp>
      <cdr:cxnSp macro="">
        <cdr:nvCxnSpPr>
          <cdr:cNvPr id="8" name="Straight Connector 7">
            <a:extLst xmlns:a="http://schemas.openxmlformats.org/drawingml/2006/main">
              <a:ext uri="{FF2B5EF4-FFF2-40B4-BE49-F238E27FC236}">
                <a16:creationId xmlns:a16="http://schemas.microsoft.com/office/drawing/2014/main" id="{9ECA70DA-05BE-B249-9603-9547413E1EDC}"/>
              </a:ext>
            </a:extLst>
          </cdr:cNvPr>
          <cdr:cNvCxnSpPr>
            <a:cxnSpLocks xmlns:a="http://schemas.openxmlformats.org/drawingml/2006/main"/>
          </cdr:cNvCxnSpPr>
        </cdr:nvCxnSpPr>
        <cdr:spPr>
          <a:xfrm xmlns:a="http://schemas.openxmlformats.org/drawingml/2006/main" flipH="1">
            <a:off x="2863662" y="-3047270"/>
            <a:ext cx="158" cy="163988"/>
          </a:xfrm>
          <a:prstGeom xmlns:a="http://schemas.openxmlformats.org/drawingml/2006/main" prst="line">
            <a:avLst/>
          </a:prstGeom>
          <a:ln xmlns:a="http://schemas.openxmlformats.org/drawingml/2006/main" w="12700">
            <a:solidFill>
              <a:schemeClr val="tx1"/>
            </a:solidFill>
          </a:ln>
        </cdr:spPr>
        <cdr:style>
          <a:lnRef xmlns:a="http://schemas.openxmlformats.org/drawingml/2006/main" idx="1">
            <a:schemeClr val="accent1"/>
          </a:lnRef>
          <a:fillRef xmlns:a="http://schemas.openxmlformats.org/drawingml/2006/main" idx="0">
            <a:schemeClr val="accent1"/>
          </a:fillRef>
          <a:effectRef xmlns:a="http://schemas.openxmlformats.org/drawingml/2006/main" idx="0">
            <a:schemeClr val="accent1"/>
          </a:effectRef>
          <a:fontRef xmlns:a="http://schemas.openxmlformats.org/drawingml/2006/main" idx="minor">
            <a:schemeClr val="tx1"/>
          </a:fontRef>
        </cdr:style>
      </cdr:cxnSp>
      <cdr:cxnSp macro="">
        <cdr:nvCxnSpPr>
          <cdr:cNvPr id="9" name="Straight Connector 8">
            <a:extLst xmlns:a="http://schemas.openxmlformats.org/drawingml/2006/main">
              <a:ext uri="{FF2B5EF4-FFF2-40B4-BE49-F238E27FC236}">
                <a16:creationId xmlns:a16="http://schemas.microsoft.com/office/drawing/2014/main" id="{7964EB1E-B45C-4641-AB85-DCEAA8641CA4}"/>
              </a:ext>
            </a:extLst>
          </cdr:cNvPr>
          <cdr:cNvCxnSpPr>
            <a:cxnSpLocks xmlns:a="http://schemas.openxmlformats.org/drawingml/2006/main"/>
          </cdr:cNvCxnSpPr>
        </cdr:nvCxnSpPr>
        <cdr:spPr>
          <a:xfrm xmlns:a="http://schemas.openxmlformats.org/drawingml/2006/main" flipH="1">
            <a:off x="1513445" y="-3040483"/>
            <a:ext cx="1357921" cy="0"/>
          </a:xfrm>
          <a:prstGeom xmlns:a="http://schemas.openxmlformats.org/drawingml/2006/main" prst="line">
            <a:avLst/>
          </a:prstGeom>
          <a:ln xmlns:a="http://schemas.openxmlformats.org/drawingml/2006/main" w="12700">
            <a:solidFill>
              <a:schemeClr val="tx1"/>
            </a:solidFill>
          </a:ln>
        </cdr:spPr>
        <cdr:style>
          <a:lnRef xmlns:a="http://schemas.openxmlformats.org/drawingml/2006/main" idx="1">
            <a:schemeClr val="accent1"/>
          </a:lnRef>
          <a:fillRef xmlns:a="http://schemas.openxmlformats.org/drawingml/2006/main" idx="0">
            <a:schemeClr val="accent1"/>
          </a:fillRef>
          <a:effectRef xmlns:a="http://schemas.openxmlformats.org/drawingml/2006/main" idx="0">
            <a:schemeClr val="accent1"/>
          </a:effectRef>
          <a:fontRef xmlns:a="http://schemas.openxmlformats.org/drawingml/2006/main" idx="minor">
            <a:schemeClr val="tx1"/>
          </a:fontRef>
        </cdr:style>
      </cdr:cxnSp>
    </cdr:grpSp>
  </cdr:relSizeAnchor>
  <cdr:relSizeAnchor xmlns:cdr="http://schemas.openxmlformats.org/drawingml/2006/chartDrawing">
    <cdr:from>
      <cdr:x>0.62189</cdr:x>
      <cdr:y>0</cdr:y>
    </cdr:from>
    <cdr:to>
      <cdr:x>0.80514</cdr:x>
      <cdr:y>0.10566</cdr:y>
    </cdr:to>
    <cdr:sp macro="" textlink="">
      <cdr:nvSpPr>
        <cdr:cNvPr id="10" name="TextBox 4">
          <a:extLst xmlns:a="http://schemas.openxmlformats.org/drawingml/2006/main">
            <a:ext uri="{FF2B5EF4-FFF2-40B4-BE49-F238E27FC236}">
              <a16:creationId xmlns:a16="http://schemas.microsoft.com/office/drawing/2014/main" id="{245946FA-9014-D848-904D-C69F15545298}"/>
            </a:ext>
          </a:extLst>
        </cdr:cNvPr>
        <cdr:cNvSpPr txBox="1"/>
      </cdr:nvSpPr>
      <cdr:spPr>
        <a:xfrm xmlns:a="http://schemas.openxmlformats.org/drawingml/2006/main">
          <a:off x="1421643" y="0"/>
          <a:ext cx="418909" cy="215453"/>
        </a:xfrm>
        <a:prstGeom xmlns:a="http://schemas.openxmlformats.org/drawingml/2006/main" prst="rect">
          <a:avLst/>
        </a:prstGeom>
        <a:noFill xmlns:a="http://schemas.openxmlformats.org/drawingml/2006/main"/>
      </cdr:spPr>
      <cdr:txBody>
        <a:bodyPr xmlns:a="http://schemas.openxmlformats.org/drawingml/2006/main" wrap="square" rtlCol="0">
          <a:spAutoFit/>
        </a:bodyPr>
        <a:lstStyle xmlns:a="http://schemas.openxmlformats.org/drawingml/2006/main">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xmlns:a="http://schemas.openxmlformats.org/drawingml/2006/main">
          <a:r>
            <a:rPr lang="en-US" sz="800" dirty="0">
              <a:latin typeface="Arial" panose="020B0604020202020204" pitchFamily="34" charset="0"/>
              <a:cs typeface="Arial" panose="020B0604020202020204" pitchFamily="34" charset="0"/>
            </a:rPr>
            <a:t>**</a:t>
          </a:r>
        </a:p>
      </cdr:txBody>
    </cdr:sp>
  </cdr:relSizeAnchor>
</c:userShape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E8CA687-E0B5-48E0-80AA-E75DE28771A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688</Words>
  <Characters>3922</Characters>
  <Application>Microsoft Office Word</Application>
  <DocSecurity>4</DocSecurity>
  <Lines>32</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4601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Nathan Sweeney</dc:creator>
  <cp:keywords/>
  <dc:description/>
  <cp:lastModifiedBy>Patel, Sonam Kajal</cp:lastModifiedBy>
  <cp:revision>2</cp:revision>
  <dcterms:created xsi:type="dcterms:W3CDTF">2019-09-11T21:08:00Z</dcterms:created>
  <dcterms:modified xsi:type="dcterms:W3CDTF">2019-09-11T21:08:00Z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nique User Id_1">
    <vt:lpwstr>a01376ab-f5f7-33b7-bddf-1d711824e831</vt:lpwstr>
  </property>
  <property fmtid="{D5CDD505-2E9C-101B-9397-08002B2CF9AE}" pid="4" name="Mendeley Citation Style_1">
    <vt:lpwstr>http://www.zotero.org/styles/american-medical-association</vt:lpwstr>
  </property>
  <property fmtid="{D5CDD505-2E9C-101B-9397-08002B2CF9AE}" pid="5" name="Mendeley Recent Style Id 0_1">
    <vt:lpwstr>http://www.zotero.org/styles/american-journal-of-respiratory-and-critical-care-medicine</vt:lpwstr>
  </property>
  <property fmtid="{D5CDD505-2E9C-101B-9397-08002B2CF9AE}" pid="6" name="Mendeley Recent Style Name 0_1">
    <vt:lpwstr>American Journal of Respiratory and Critical Care Medicine</vt:lpwstr>
  </property>
  <property fmtid="{D5CDD505-2E9C-101B-9397-08002B2CF9AE}" pid="7" name="Mendeley Recent Style Id 1_1">
    <vt:lpwstr>http://www.zotero.org/styles/american-medical-association</vt:lpwstr>
  </property>
  <property fmtid="{D5CDD505-2E9C-101B-9397-08002B2CF9AE}" pid="8" name="Mendeley Recent Style Name 1_1">
    <vt:lpwstr>American Medical Association</vt:lpwstr>
  </property>
  <property fmtid="{D5CDD505-2E9C-101B-9397-08002B2CF9AE}" pid="9" name="Mendeley Recent Style Id 2_1">
    <vt:lpwstr>http://www.zotero.org/styles/cancer-cell</vt:lpwstr>
  </property>
  <property fmtid="{D5CDD505-2E9C-101B-9397-08002B2CF9AE}" pid="10" name="Mendeley Recent Style Name 2_1">
    <vt:lpwstr>Cancer Cell</vt:lpwstr>
  </property>
  <property fmtid="{D5CDD505-2E9C-101B-9397-08002B2CF9AE}" pid="11" name="Mendeley Recent Style Id 3_1">
    <vt:lpwstr>http://www.zotero.org/styles/cancer-immunology-immunotherapy</vt:lpwstr>
  </property>
  <property fmtid="{D5CDD505-2E9C-101B-9397-08002B2CF9AE}" pid="12" name="Mendeley Recent Style Name 3_1">
    <vt:lpwstr>Cancer Immunology, Immunotherapy</vt:lpwstr>
  </property>
  <property fmtid="{D5CDD505-2E9C-101B-9397-08002B2CF9AE}" pid="13" name="Mendeley Recent Style Id 4_1">
    <vt:lpwstr>http://www.zotero.org/styles/cell</vt:lpwstr>
  </property>
  <property fmtid="{D5CDD505-2E9C-101B-9397-08002B2CF9AE}" pid="14" name="Mendeley Recent Style Name 4_1">
    <vt:lpwstr>Cell</vt:lpwstr>
  </property>
  <property fmtid="{D5CDD505-2E9C-101B-9397-08002B2CF9AE}" pid="15" name="Mendeley Recent Style Id 5_1">
    <vt:lpwstr>http://www.zotero.org/styles/chicago-author-date</vt:lpwstr>
  </property>
  <property fmtid="{D5CDD505-2E9C-101B-9397-08002B2CF9AE}" pid="16" name="Mendeley Recent Style Name 5_1">
    <vt:lpwstr>Chicago Manual of Style 16th edition (author-date)</vt:lpwstr>
  </property>
  <property fmtid="{D5CDD505-2E9C-101B-9397-08002B2CF9AE}" pid="17" name="Mendeley Recent Style Id 6_1">
    <vt:lpwstr>http://www.zotero.org/styles/council-of-science-editors</vt:lpwstr>
  </property>
  <property fmtid="{D5CDD505-2E9C-101B-9397-08002B2CF9AE}" pid="18" name="Mendeley Recent Style Name 6_1">
    <vt:lpwstr>Council of Science Editors, Citation-Sequence (numeric)</vt:lpwstr>
  </property>
  <property fmtid="{D5CDD505-2E9C-101B-9397-08002B2CF9AE}" pid="19" name="Mendeley Recent Style Id 7_1">
    <vt:lpwstr>http://www.zotero.org/styles/future-science-group</vt:lpwstr>
  </property>
  <property fmtid="{D5CDD505-2E9C-101B-9397-08002B2CF9AE}" pid="20" name="Mendeley Recent Style Name 7_1">
    <vt:lpwstr>Future Science Group</vt:lpwstr>
  </property>
  <property fmtid="{D5CDD505-2E9C-101B-9397-08002B2CF9AE}" pid="21" name="Mendeley Recent Style Id 8_1">
    <vt:lpwstr>http://www.zotero.org/styles/modern-humanities-research-association</vt:lpwstr>
  </property>
  <property fmtid="{D5CDD505-2E9C-101B-9397-08002B2CF9AE}" pid="22" name="Mendeley Recent Style Name 8_1">
    <vt:lpwstr>Modern Humanities Research Association 3rd edition (note with bibliography)</vt:lpwstr>
  </property>
  <property fmtid="{D5CDD505-2E9C-101B-9397-08002B2CF9AE}" pid="23" name="Mendeley Recent Style Id 9_1">
    <vt:lpwstr>http://www.zotero.org/styles/vancouver</vt:lpwstr>
  </property>
  <property fmtid="{D5CDD505-2E9C-101B-9397-08002B2CF9AE}" pid="24" name="Mendeley Recent Style Name 9_1">
    <vt:lpwstr>Vancouver</vt:lpwstr>
  </property>
</Properties>
</file>