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7C0A8" w14:textId="77777777" w:rsidR="00B86960" w:rsidRPr="00044294" w:rsidRDefault="00B86960" w:rsidP="00B86960">
      <w:pPr>
        <w:spacing w:line="480" w:lineRule="auto"/>
        <w:rPr>
          <w:rFonts w:ascii="Arial" w:hAnsi="Arial" w:cs="Arial"/>
          <w:b/>
          <w:sz w:val="32"/>
          <w:szCs w:val="32"/>
        </w:rPr>
      </w:pPr>
      <w:bookmarkStart w:id="0" w:name="_GoBack"/>
      <w:bookmarkEnd w:id="0"/>
      <w:r w:rsidRPr="00044294">
        <w:rPr>
          <w:rFonts w:ascii="Arial" w:hAnsi="Arial" w:cs="Arial"/>
          <w:b/>
          <w:sz w:val="32"/>
          <w:szCs w:val="32"/>
        </w:rPr>
        <w:t>Supplementary materials</w:t>
      </w:r>
    </w:p>
    <w:p w14:paraId="5596B1D0" w14:textId="77777777" w:rsidR="00B86960" w:rsidRPr="00044294" w:rsidRDefault="00B86960" w:rsidP="00B86960">
      <w:pPr>
        <w:spacing w:line="480" w:lineRule="auto"/>
        <w:rPr>
          <w:rFonts w:ascii="Arial" w:eastAsia="Calibri" w:hAnsi="Arial" w:cs="Arial"/>
          <w:b/>
          <w:sz w:val="28"/>
          <w:szCs w:val="28"/>
        </w:rPr>
      </w:pPr>
      <w:r w:rsidRPr="00044294">
        <w:rPr>
          <w:rFonts w:ascii="Arial" w:eastAsia="Calibri" w:hAnsi="Arial" w:cs="Arial"/>
          <w:b/>
          <w:sz w:val="28"/>
          <w:szCs w:val="28"/>
        </w:rPr>
        <w:t xml:space="preserve">Exacerbation frequency and eosinophil counts among patients with COPD currently prescribed triple therapy (Benson </w:t>
      </w:r>
      <w:r w:rsidRPr="00044294">
        <w:rPr>
          <w:rFonts w:ascii="Arial" w:eastAsia="Calibri" w:hAnsi="Arial" w:cs="Arial"/>
          <w:b/>
          <w:i/>
          <w:sz w:val="28"/>
          <w:szCs w:val="28"/>
        </w:rPr>
        <w:t>et al</w:t>
      </w:r>
      <w:r w:rsidRPr="00044294">
        <w:rPr>
          <w:rFonts w:ascii="Arial" w:eastAsia="Calibri" w:hAnsi="Arial" w:cs="Arial"/>
          <w:b/>
          <w:sz w:val="28"/>
          <w:szCs w:val="28"/>
        </w:rPr>
        <w:t>.)</w:t>
      </w:r>
    </w:p>
    <w:p w14:paraId="11306F07" w14:textId="77777777" w:rsidR="00B86960" w:rsidRPr="00044294" w:rsidRDefault="00B86960" w:rsidP="00B86960">
      <w:pPr>
        <w:spacing w:after="0" w:line="480" w:lineRule="auto"/>
        <w:rPr>
          <w:rFonts w:ascii="Arial" w:hAnsi="Arial" w:cs="Arial"/>
          <w:b/>
          <w:sz w:val="28"/>
          <w:szCs w:val="28"/>
        </w:rPr>
      </w:pPr>
    </w:p>
    <w:p w14:paraId="0A2019B1" w14:textId="77777777" w:rsidR="00B86960" w:rsidRPr="00044294" w:rsidRDefault="00B86960" w:rsidP="00B86960">
      <w:pPr>
        <w:spacing w:line="480" w:lineRule="auto"/>
        <w:rPr>
          <w:rFonts w:ascii="Arial" w:hAnsi="Arial" w:cs="Arial"/>
          <w:b/>
          <w:sz w:val="28"/>
          <w:szCs w:val="28"/>
        </w:rPr>
      </w:pPr>
      <w:r w:rsidRPr="00044294">
        <w:rPr>
          <w:rFonts w:ascii="Arial" w:hAnsi="Arial" w:cs="Arial"/>
          <w:b/>
          <w:sz w:val="28"/>
          <w:szCs w:val="28"/>
        </w:rPr>
        <w:t>Contents</w:t>
      </w:r>
    </w:p>
    <w:p w14:paraId="0C864CFB" w14:textId="77777777" w:rsidR="00701FFD" w:rsidRPr="00701FFD" w:rsidRDefault="00701FFD" w:rsidP="00701FFD">
      <w:pPr>
        <w:spacing w:line="480" w:lineRule="auto"/>
        <w:rPr>
          <w:rFonts w:ascii="Arial" w:hAnsi="Arial" w:cs="Arial"/>
          <w:b/>
          <w:sz w:val="28"/>
          <w:u w:val="single"/>
        </w:rPr>
      </w:pPr>
      <w:r w:rsidRPr="00701FFD">
        <w:rPr>
          <w:rFonts w:ascii="Arial" w:hAnsi="Arial" w:cs="Arial"/>
          <w:b/>
          <w:sz w:val="28"/>
          <w:u w:val="single"/>
        </w:rPr>
        <w:t>Supplementary methods</w:t>
      </w:r>
    </w:p>
    <w:p w14:paraId="1743FD12" w14:textId="77777777" w:rsidR="00701FFD" w:rsidRPr="00044294" w:rsidRDefault="00701FFD" w:rsidP="00701FFD">
      <w:pPr>
        <w:spacing w:line="480" w:lineRule="auto"/>
        <w:rPr>
          <w:rFonts w:ascii="Arial" w:hAnsi="Arial" w:cs="Arial"/>
          <w:b/>
          <w:sz w:val="26"/>
          <w:szCs w:val="26"/>
        </w:rPr>
      </w:pPr>
      <w:r w:rsidRPr="00044294">
        <w:rPr>
          <w:rFonts w:ascii="Arial" w:hAnsi="Arial" w:cs="Arial"/>
          <w:b/>
          <w:sz w:val="26"/>
          <w:szCs w:val="26"/>
        </w:rPr>
        <w:t xml:space="preserve">Calculating weighted percentages </w:t>
      </w:r>
    </w:p>
    <w:p w14:paraId="265064BF" w14:textId="77777777" w:rsidR="00701FFD" w:rsidRPr="00044294" w:rsidRDefault="00701FFD" w:rsidP="00701FFD">
      <w:pPr>
        <w:pStyle w:val="ListParagraph"/>
        <w:numPr>
          <w:ilvl w:val="0"/>
          <w:numId w:val="1"/>
        </w:numPr>
        <w:spacing w:after="120" w:line="480" w:lineRule="auto"/>
        <w:rPr>
          <w:rFonts w:ascii="Arial" w:hAnsi="Arial" w:cs="Arial"/>
          <w:sz w:val="20"/>
          <w:szCs w:val="20"/>
        </w:rPr>
      </w:pPr>
      <w:r w:rsidRPr="00044294">
        <w:rPr>
          <w:rFonts w:ascii="Arial" w:hAnsi="Arial" w:cs="Arial"/>
          <w:sz w:val="20"/>
          <w:szCs w:val="20"/>
        </w:rPr>
        <w:t>A weight per patient was developed using the following steps:</w:t>
      </w:r>
    </w:p>
    <w:p w14:paraId="7535B89E" w14:textId="77777777" w:rsidR="00701FFD" w:rsidRPr="00044294" w:rsidRDefault="00701FFD" w:rsidP="00701FFD">
      <w:pPr>
        <w:pStyle w:val="ListParagraph"/>
        <w:numPr>
          <w:ilvl w:val="1"/>
          <w:numId w:val="1"/>
        </w:numPr>
        <w:spacing w:after="120" w:line="480" w:lineRule="auto"/>
        <w:rPr>
          <w:rFonts w:ascii="Arial" w:hAnsi="Arial" w:cs="Arial"/>
          <w:sz w:val="20"/>
          <w:szCs w:val="20"/>
        </w:rPr>
      </w:pPr>
      <w:r w:rsidRPr="00044294">
        <w:rPr>
          <w:rFonts w:ascii="Arial" w:hAnsi="Arial" w:cs="Arial"/>
          <w:sz w:val="20"/>
          <w:szCs w:val="20"/>
        </w:rPr>
        <w:t>Weight (W) = 1</w:t>
      </w:r>
      <w:proofErr w:type="gramStart"/>
      <w:r w:rsidRPr="00044294">
        <w:rPr>
          <w:rFonts w:ascii="Arial" w:hAnsi="Arial" w:cs="Arial"/>
          <w:sz w:val="20"/>
          <w:szCs w:val="20"/>
        </w:rPr>
        <w:t>/(</w:t>
      </w:r>
      <w:proofErr w:type="gramEnd"/>
      <w:r w:rsidRPr="00044294">
        <w:rPr>
          <w:rFonts w:ascii="Arial" w:hAnsi="Arial" w:cs="Arial"/>
          <w:sz w:val="20"/>
          <w:szCs w:val="20"/>
        </w:rPr>
        <w:t xml:space="preserve">number of visits in the last 12 months), where the number of visits is capped, </w:t>
      </w:r>
      <w:proofErr w:type="spellStart"/>
      <w:r w:rsidRPr="00044294">
        <w:rPr>
          <w:rFonts w:ascii="Arial" w:hAnsi="Arial" w:cs="Arial"/>
          <w:sz w:val="20"/>
          <w:szCs w:val="20"/>
        </w:rPr>
        <w:t>eg</w:t>
      </w:r>
      <w:proofErr w:type="spellEnd"/>
      <w:r w:rsidRPr="00044294">
        <w:rPr>
          <w:rFonts w:ascii="Arial" w:hAnsi="Arial" w:cs="Arial"/>
          <w:sz w:val="20"/>
          <w:szCs w:val="20"/>
        </w:rPr>
        <w:t>, capped to a maximum of 12 visits.</w:t>
      </w:r>
    </w:p>
    <w:p w14:paraId="28F87F4F" w14:textId="77777777" w:rsidR="00701FFD" w:rsidRPr="00044294" w:rsidRDefault="00701FFD" w:rsidP="00701FFD">
      <w:pPr>
        <w:pStyle w:val="ListParagraph"/>
        <w:numPr>
          <w:ilvl w:val="1"/>
          <w:numId w:val="1"/>
        </w:numPr>
        <w:spacing w:after="120" w:line="480" w:lineRule="auto"/>
        <w:rPr>
          <w:rFonts w:ascii="Arial" w:hAnsi="Arial" w:cs="Arial"/>
          <w:sz w:val="20"/>
          <w:szCs w:val="20"/>
        </w:rPr>
      </w:pPr>
      <w:r w:rsidRPr="00044294">
        <w:rPr>
          <w:rFonts w:ascii="Arial" w:hAnsi="Arial" w:cs="Arial"/>
          <w:sz w:val="20"/>
          <w:szCs w:val="20"/>
        </w:rPr>
        <w:t xml:space="preserve">W was multiplied by a factor such that W sums to the number of patients managed by the physician (this number will be capped, </w:t>
      </w:r>
      <w:proofErr w:type="spellStart"/>
      <w:r w:rsidRPr="00044294">
        <w:rPr>
          <w:rFonts w:ascii="Arial" w:hAnsi="Arial" w:cs="Arial"/>
          <w:sz w:val="20"/>
          <w:szCs w:val="20"/>
        </w:rPr>
        <w:t>eg</w:t>
      </w:r>
      <w:proofErr w:type="spellEnd"/>
      <w:r w:rsidRPr="00044294">
        <w:rPr>
          <w:rFonts w:ascii="Arial" w:hAnsi="Arial" w:cs="Arial"/>
          <w:sz w:val="20"/>
          <w:szCs w:val="20"/>
        </w:rPr>
        <w:t>, the min and max differ by no more than a factor of 10). This factor was unique to each physician.</w:t>
      </w:r>
    </w:p>
    <w:p w14:paraId="6038C18E" w14:textId="77777777" w:rsidR="00701FFD" w:rsidRPr="00044294" w:rsidRDefault="00701FFD" w:rsidP="00701FFD">
      <w:pPr>
        <w:pStyle w:val="ListParagraph"/>
        <w:numPr>
          <w:ilvl w:val="1"/>
          <w:numId w:val="1"/>
        </w:numPr>
        <w:spacing w:after="120" w:line="480" w:lineRule="auto"/>
        <w:rPr>
          <w:rFonts w:ascii="Arial" w:hAnsi="Arial" w:cs="Arial"/>
          <w:sz w:val="20"/>
          <w:szCs w:val="20"/>
        </w:rPr>
      </w:pPr>
      <w:r w:rsidRPr="00044294">
        <w:rPr>
          <w:rFonts w:ascii="Arial" w:hAnsi="Arial" w:cs="Arial"/>
          <w:sz w:val="20"/>
          <w:szCs w:val="20"/>
        </w:rPr>
        <w:t>W was multiplied by a factor such that W sums to the total number of physicians of the same type within the same country, multiplied by the average number of patients managed by the physicians (within the same group).</w:t>
      </w:r>
    </w:p>
    <w:p w14:paraId="7C6645D7" w14:textId="77777777" w:rsidR="00701FFD" w:rsidRPr="00044294" w:rsidRDefault="00701FFD" w:rsidP="00701FFD">
      <w:pPr>
        <w:pStyle w:val="ListParagraph"/>
        <w:numPr>
          <w:ilvl w:val="1"/>
          <w:numId w:val="1"/>
        </w:numPr>
        <w:spacing w:after="120" w:line="480" w:lineRule="auto"/>
        <w:rPr>
          <w:rFonts w:ascii="Arial" w:hAnsi="Arial" w:cs="Arial"/>
          <w:sz w:val="20"/>
          <w:szCs w:val="20"/>
        </w:rPr>
      </w:pPr>
      <w:r w:rsidRPr="00044294">
        <w:rPr>
          <w:rFonts w:ascii="Arial" w:hAnsi="Arial" w:cs="Arial"/>
          <w:sz w:val="20"/>
          <w:szCs w:val="20"/>
        </w:rPr>
        <w:t xml:space="preserve">W was multiplied by a factor such that W sums to the number of patients within that country. This factor was unique to each country. If the number of patients within each country was not known (obtained from epidemiology figures) then the general population numbers were used as sourced for </w:t>
      </w:r>
      <w:r w:rsidRPr="00044294">
        <w:rPr>
          <w:rFonts w:ascii="Arial" w:hAnsi="Arial" w:cs="Arial"/>
          <w:sz w:val="20"/>
          <w:szCs w:val="20"/>
        </w:rPr>
        <w:lastRenderedPageBreak/>
        <w:t>example from office of national statistics in the UK. This assumes that the disease prevalence in each country is similar.</w:t>
      </w:r>
    </w:p>
    <w:p w14:paraId="7A924077" w14:textId="77777777" w:rsidR="00701FFD" w:rsidRPr="00044294" w:rsidRDefault="00701FFD" w:rsidP="00701FFD">
      <w:pPr>
        <w:pStyle w:val="ListParagraph"/>
        <w:numPr>
          <w:ilvl w:val="0"/>
          <w:numId w:val="1"/>
        </w:numPr>
        <w:spacing w:after="120" w:line="480" w:lineRule="auto"/>
        <w:rPr>
          <w:rFonts w:ascii="Arial" w:hAnsi="Arial" w:cs="Arial"/>
          <w:sz w:val="20"/>
          <w:szCs w:val="20"/>
        </w:rPr>
      </w:pPr>
      <w:r w:rsidRPr="00044294">
        <w:rPr>
          <w:rFonts w:ascii="Arial" w:hAnsi="Arial" w:cs="Arial"/>
          <w:sz w:val="20"/>
          <w:szCs w:val="20"/>
        </w:rPr>
        <w:t>The ‘number of visits’ and the ‘total number of patients managed by the physician’ variables were capped prior to their use in the weighting. This was to limit the variability of the weight and to ensure that the scenario where a small number of patients have an unreasonably large influence did not occur. The caps were selected based on the variable distributions.</w:t>
      </w:r>
    </w:p>
    <w:p w14:paraId="57BFFCB5" w14:textId="77777777" w:rsidR="00B86960" w:rsidRDefault="00B86960" w:rsidP="00B86960">
      <w:pPr>
        <w:spacing w:after="0" w:line="480" w:lineRule="auto"/>
        <w:rPr>
          <w:rFonts w:ascii="Arial" w:hAnsi="Arial" w:cs="Arial"/>
          <w:b/>
          <w:sz w:val="26"/>
          <w:szCs w:val="26"/>
        </w:rPr>
      </w:pPr>
    </w:p>
    <w:p w14:paraId="7B4E7FBF" w14:textId="77777777" w:rsidR="00334AA7" w:rsidRDefault="00334AA7">
      <w:pPr>
        <w:spacing w:after="160" w:line="259" w:lineRule="auto"/>
        <w:rPr>
          <w:rFonts w:ascii="Arial" w:hAnsi="Arial" w:cs="Arial"/>
          <w:b/>
          <w:sz w:val="28"/>
          <w:u w:val="single"/>
        </w:rPr>
      </w:pPr>
      <w:r>
        <w:rPr>
          <w:rFonts w:ascii="Arial" w:hAnsi="Arial" w:cs="Arial"/>
          <w:b/>
          <w:sz w:val="28"/>
          <w:u w:val="single"/>
        </w:rPr>
        <w:br w:type="page"/>
      </w:r>
    </w:p>
    <w:p w14:paraId="0D87B3FB" w14:textId="77777777" w:rsidR="00701FFD" w:rsidRPr="00701FFD" w:rsidRDefault="00701FFD" w:rsidP="00B86960">
      <w:pPr>
        <w:spacing w:after="0" w:line="480" w:lineRule="auto"/>
        <w:rPr>
          <w:rFonts w:ascii="Arial" w:hAnsi="Arial" w:cs="Arial"/>
          <w:b/>
          <w:sz w:val="28"/>
          <w:u w:val="single"/>
        </w:rPr>
      </w:pPr>
      <w:r w:rsidRPr="00701FFD">
        <w:rPr>
          <w:rFonts w:ascii="Arial" w:hAnsi="Arial" w:cs="Arial"/>
          <w:b/>
          <w:sz w:val="28"/>
          <w:u w:val="single"/>
        </w:rPr>
        <w:lastRenderedPageBreak/>
        <w:t>Supplementary figure legends and footnotes</w:t>
      </w:r>
    </w:p>
    <w:p w14:paraId="2A1065BF" w14:textId="77777777" w:rsidR="00701FFD" w:rsidRPr="00044294" w:rsidRDefault="00701FFD" w:rsidP="00B86960">
      <w:pPr>
        <w:spacing w:after="0" w:line="480" w:lineRule="auto"/>
        <w:rPr>
          <w:rFonts w:ascii="Arial" w:hAnsi="Arial" w:cs="Arial"/>
          <w:b/>
          <w:sz w:val="26"/>
          <w:szCs w:val="26"/>
        </w:rPr>
      </w:pPr>
    </w:p>
    <w:p w14:paraId="521C27C1" w14:textId="77777777" w:rsidR="00B86960" w:rsidRPr="00044294" w:rsidRDefault="00B86960" w:rsidP="00B86960">
      <w:pPr>
        <w:spacing w:after="0" w:line="480" w:lineRule="auto"/>
        <w:rPr>
          <w:rFonts w:ascii="Arial" w:hAnsi="Arial" w:cs="Arial"/>
          <w:b/>
          <w:sz w:val="26"/>
          <w:szCs w:val="26"/>
        </w:rPr>
      </w:pPr>
      <w:r w:rsidRPr="00044294">
        <w:rPr>
          <w:rFonts w:ascii="Arial" w:hAnsi="Arial" w:cs="Arial"/>
          <w:b/>
          <w:sz w:val="26"/>
          <w:szCs w:val="26"/>
        </w:rPr>
        <w:t>Supplementary Figure 1</w:t>
      </w:r>
      <w:r w:rsidRPr="00044294">
        <w:rPr>
          <w:rFonts w:ascii="Arial" w:hAnsi="Arial" w:cs="Arial"/>
          <w:sz w:val="26"/>
          <w:szCs w:val="26"/>
        </w:rPr>
        <w:t xml:space="preserve"> DSP methodology.</w:t>
      </w:r>
    </w:p>
    <w:p w14:paraId="1D2DE903" w14:textId="77777777" w:rsidR="00701FFD" w:rsidRDefault="00DD1595" w:rsidP="00701FFD">
      <w:pPr>
        <w:spacing w:after="0" w:line="480" w:lineRule="auto"/>
        <w:rPr>
          <w:rFonts w:ascii="Arial" w:hAnsi="Arial" w:cs="Arial"/>
          <w:b/>
          <w:sz w:val="20"/>
          <w:szCs w:val="20"/>
        </w:rPr>
      </w:pPr>
      <w:r>
        <w:rPr>
          <w:noProof/>
        </w:rPr>
        <w:drawing>
          <wp:inline distT="0" distB="0" distL="0" distR="0" wp14:anchorId="3C3BB574" wp14:editId="59ACE587">
            <wp:extent cx="5401077" cy="17430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8559" cy="1748717"/>
                    </a:xfrm>
                    <a:prstGeom prst="rect">
                      <a:avLst/>
                    </a:prstGeom>
                    <a:noFill/>
                    <a:ln>
                      <a:noFill/>
                    </a:ln>
                  </pic:spPr>
                </pic:pic>
              </a:graphicData>
            </a:graphic>
          </wp:inline>
        </w:drawing>
      </w:r>
    </w:p>
    <w:p w14:paraId="0550E006" w14:textId="77777777" w:rsidR="00701FFD" w:rsidRPr="00044294" w:rsidRDefault="00701FFD" w:rsidP="00701FFD">
      <w:pPr>
        <w:spacing w:after="0" w:line="480" w:lineRule="auto"/>
        <w:rPr>
          <w:rFonts w:ascii="Arial" w:hAnsi="Arial" w:cs="Arial"/>
          <w:sz w:val="20"/>
          <w:szCs w:val="20"/>
        </w:rPr>
      </w:pPr>
      <w:r w:rsidRPr="00044294">
        <w:rPr>
          <w:rFonts w:ascii="Arial" w:hAnsi="Arial" w:cs="Arial"/>
          <w:b/>
          <w:sz w:val="20"/>
          <w:szCs w:val="20"/>
        </w:rPr>
        <w:t>Abbreviations</w:t>
      </w:r>
      <w:r>
        <w:rPr>
          <w:rFonts w:ascii="Arial" w:hAnsi="Arial" w:cs="Arial"/>
          <w:sz w:val="20"/>
          <w:szCs w:val="20"/>
        </w:rPr>
        <w:t xml:space="preserve">: </w:t>
      </w:r>
      <w:r w:rsidRPr="00044294">
        <w:rPr>
          <w:rFonts w:ascii="Arial" w:hAnsi="Arial" w:cs="Arial"/>
          <w:sz w:val="20"/>
          <w:szCs w:val="20"/>
        </w:rPr>
        <w:t xml:space="preserve">COPD, chronic obstructive pulmonary disease; DSP, Adelphi Real-World Respiratory Disease Specific </w:t>
      </w:r>
      <w:proofErr w:type="spellStart"/>
      <w:r w:rsidRPr="00044294">
        <w:rPr>
          <w:rFonts w:ascii="Arial" w:hAnsi="Arial" w:cs="Arial"/>
          <w:sz w:val="20"/>
          <w:szCs w:val="20"/>
        </w:rPr>
        <w:t>Program</w:t>
      </w:r>
      <w:r>
        <w:rPr>
          <w:rFonts w:ascii="Arial" w:hAnsi="Arial" w:cs="Arial"/>
          <w:sz w:val="20"/>
          <w:szCs w:val="20"/>
        </w:rPr>
        <w:t>me</w:t>
      </w:r>
      <w:proofErr w:type="spellEnd"/>
      <w:r w:rsidRPr="00044294">
        <w:rPr>
          <w:rFonts w:ascii="Arial" w:hAnsi="Arial" w:cs="Arial"/>
          <w:sz w:val="20"/>
          <w:szCs w:val="20"/>
        </w:rPr>
        <w:t>.</w:t>
      </w:r>
    </w:p>
    <w:p w14:paraId="0AAF080C" w14:textId="77777777" w:rsidR="00B86960" w:rsidRPr="00044294" w:rsidRDefault="00B86960" w:rsidP="00B86960">
      <w:pPr>
        <w:spacing w:after="0" w:line="480" w:lineRule="auto"/>
        <w:rPr>
          <w:rFonts w:ascii="Arial" w:hAnsi="Arial" w:cs="Arial"/>
          <w:b/>
          <w:sz w:val="26"/>
          <w:szCs w:val="26"/>
        </w:rPr>
      </w:pPr>
    </w:p>
    <w:p w14:paraId="77D45ADF" w14:textId="77777777" w:rsidR="00334AA7" w:rsidRDefault="00334AA7">
      <w:pPr>
        <w:spacing w:after="160" w:line="259" w:lineRule="auto"/>
        <w:rPr>
          <w:rFonts w:ascii="Arial" w:hAnsi="Arial" w:cs="Arial"/>
          <w:b/>
          <w:sz w:val="26"/>
          <w:szCs w:val="26"/>
        </w:rPr>
      </w:pPr>
      <w:r>
        <w:rPr>
          <w:rFonts w:ascii="Arial" w:hAnsi="Arial" w:cs="Arial"/>
          <w:b/>
          <w:sz w:val="26"/>
          <w:szCs w:val="26"/>
        </w:rPr>
        <w:br w:type="page"/>
      </w:r>
    </w:p>
    <w:p w14:paraId="28AF04CA" w14:textId="77777777" w:rsidR="006B4043" w:rsidRDefault="006B4043" w:rsidP="00B86960">
      <w:pPr>
        <w:spacing w:after="0" w:line="480" w:lineRule="auto"/>
        <w:rPr>
          <w:rFonts w:ascii="Arial" w:hAnsi="Arial" w:cs="Arial"/>
          <w:b/>
          <w:sz w:val="26"/>
          <w:szCs w:val="26"/>
        </w:rPr>
        <w:sectPr w:rsidR="006B4043" w:rsidSect="00466B1D">
          <w:type w:val="continuous"/>
          <w:pgSz w:w="11907" w:h="16840" w:code="9"/>
          <w:pgMar w:top="1440" w:right="1797" w:bottom="1440" w:left="1797" w:header="720" w:footer="720" w:gutter="0"/>
          <w:cols w:space="720"/>
          <w:docGrid w:linePitch="360"/>
        </w:sectPr>
      </w:pPr>
    </w:p>
    <w:p w14:paraId="5D5782E3" w14:textId="77777777" w:rsidR="00B86960" w:rsidRDefault="00B86960" w:rsidP="00B86960">
      <w:pPr>
        <w:spacing w:after="0" w:line="480" w:lineRule="auto"/>
        <w:rPr>
          <w:rFonts w:ascii="Arial" w:hAnsi="Arial" w:cs="Arial"/>
          <w:sz w:val="26"/>
          <w:szCs w:val="26"/>
        </w:rPr>
      </w:pPr>
      <w:r w:rsidRPr="00044294">
        <w:rPr>
          <w:rFonts w:ascii="Arial" w:hAnsi="Arial" w:cs="Arial"/>
          <w:b/>
          <w:sz w:val="26"/>
          <w:szCs w:val="26"/>
        </w:rPr>
        <w:lastRenderedPageBreak/>
        <w:t xml:space="preserve">Supplementary Figure 2 </w:t>
      </w:r>
      <w:r w:rsidRPr="00044294">
        <w:rPr>
          <w:rFonts w:ascii="Arial" w:hAnsi="Arial" w:cs="Arial"/>
          <w:sz w:val="26"/>
          <w:szCs w:val="26"/>
        </w:rPr>
        <w:t>Overview of main analysis and sensitivity analyses.</w:t>
      </w:r>
    </w:p>
    <w:p w14:paraId="01451F93" w14:textId="77777777" w:rsidR="00334AA7" w:rsidRDefault="00334AA7" w:rsidP="00701FFD">
      <w:pPr>
        <w:spacing w:after="0" w:line="480" w:lineRule="auto"/>
        <w:rPr>
          <w:rFonts w:ascii="Arial" w:hAnsi="Arial" w:cs="Arial"/>
          <w:b/>
          <w:sz w:val="20"/>
          <w:szCs w:val="20"/>
        </w:rPr>
      </w:pPr>
      <w:r>
        <w:rPr>
          <w:noProof/>
        </w:rPr>
        <w:drawing>
          <wp:inline distT="0" distB="0" distL="0" distR="0" wp14:anchorId="58EE4355" wp14:editId="479A052C">
            <wp:extent cx="9170173" cy="322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81250" cy="3232875"/>
                    </a:xfrm>
                    <a:prstGeom prst="rect">
                      <a:avLst/>
                    </a:prstGeom>
                    <a:noFill/>
                    <a:ln>
                      <a:noFill/>
                    </a:ln>
                  </pic:spPr>
                </pic:pic>
              </a:graphicData>
            </a:graphic>
          </wp:inline>
        </w:drawing>
      </w:r>
    </w:p>
    <w:p w14:paraId="53D90D76" w14:textId="77777777" w:rsidR="00E74E80" w:rsidRDefault="00701FFD" w:rsidP="00701FFD">
      <w:pPr>
        <w:spacing w:after="0" w:line="480" w:lineRule="auto"/>
        <w:rPr>
          <w:rFonts w:ascii="Arial" w:hAnsi="Arial" w:cs="Arial"/>
          <w:sz w:val="20"/>
          <w:szCs w:val="20"/>
        </w:rPr>
      </w:pPr>
      <w:r w:rsidRPr="00044294">
        <w:rPr>
          <w:rFonts w:ascii="Arial" w:hAnsi="Arial" w:cs="Arial"/>
          <w:b/>
          <w:sz w:val="20"/>
          <w:szCs w:val="20"/>
        </w:rPr>
        <w:t>Abbreviations</w:t>
      </w:r>
      <w:r>
        <w:rPr>
          <w:rFonts w:ascii="Arial" w:hAnsi="Arial" w:cs="Arial"/>
          <w:sz w:val="20"/>
          <w:szCs w:val="20"/>
        </w:rPr>
        <w:t xml:space="preserve">: </w:t>
      </w:r>
      <w:r w:rsidRPr="00044294">
        <w:rPr>
          <w:rFonts w:ascii="Arial" w:hAnsi="Arial" w:cs="Arial"/>
          <w:sz w:val="20"/>
          <w:szCs w:val="20"/>
        </w:rPr>
        <w:t xml:space="preserve">EOS, blood eosinophil count; PSC, patient self-completion questionnaire </w:t>
      </w:r>
    </w:p>
    <w:p w14:paraId="48E65783" w14:textId="77777777" w:rsidR="00E74E80" w:rsidRDefault="00E74E80" w:rsidP="00701FFD">
      <w:pPr>
        <w:spacing w:after="0" w:line="480" w:lineRule="auto"/>
        <w:rPr>
          <w:rFonts w:ascii="Arial" w:hAnsi="Arial" w:cs="Arial"/>
          <w:sz w:val="20"/>
          <w:szCs w:val="20"/>
        </w:rPr>
      </w:pPr>
    </w:p>
    <w:p w14:paraId="47B81441" w14:textId="77777777" w:rsidR="00334AA7" w:rsidRDefault="00334AA7">
      <w:pPr>
        <w:spacing w:after="160" w:line="259" w:lineRule="auto"/>
        <w:rPr>
          <w:rFonts w:ascii="Arial" w:hAnsi="Arial" w:cs="Arial"/>
          <w:b/>
          <w:sz w:val="28"/>
          <w:u w:val="single"/>
        </w:rPr>
      </w:pPr>
      <w:r>
        <w:rPr>
          <w:rFonts w:ascii="Arial" w:hAnsi="Arial" w:cs="Arial"/>
          <w:b/>
          <w:sz w:val="28"/>
          <w:u w:val="single"/>
        </w:rPr>
        <w:br w:type="page"/>
      </w:r>
    </w:p>
    <w:p w14:paraId="7BEDEF61" w14:textId="77777777" w:rsidR="006B4043" w:rsidRDefault="006B4043" w:rsidP="00E74E80">
      <w:pPr>
        <w:spacing w:line="480" w:lineRule="auto"/>
        <w:rPr>
          <w:rFonts w:ascii="Arial" w:hAnsi="Arial" w:cs="Arial"/>
          <w:b/>
          <w:sz w:val="28"/>
          <w:u w:val="single"/>
        </w:rPr>
        <w:sectPr w:rsidR="006B4043" w:rsidSect="003C307A">
          <w:pgSz w:w="16840" w:h="11907" w:orient="landscape" w:code="9"/>
          <w:pgMar w:top="1797" w:right="1440" w:bottom="1797" w:left="1440" w:header="720" w:footer="720" w:gutter="0"/>
          <w:cols w:space="720"/>
          <w:docGrid w:linePitch="360"/>
        </w:sectPr>
      </w:pPr>
    </w:p>
    <w:p w14:paraId="72056069" w14:textId="77777777" w:rsidR="00701FFD" w:rsidRDefault="00E74E80" w:rsidP="006B4043">
      <w:pPr>
        <w:spacing w:line="480" w:lineRule="auto"/>
        <w:rPr>
          <w:rFonts w:ascii="Arial" w:hAnsi="Arial" w:cs="Arial"/>
          <w:b/>
          <w:sz w:val="26"/>
          <w:szCs w:val="26"/>
        </w:rPr>
      </w:pPr>
      <w:r w:rsidRPr="00701FFD">
        <w:rPr>
          <w:rFonts w:ascii="Arial" w:hAnsi="Arial" w:cs="Arial"/>
          <w:b/>
          <w:sz w:val="28"/>
          <w:u w:val="single"/>
        </w:rPr>
        <w:lastRenderedPageBreak/>
        <w:t xml:space="preserve">Supplementary </w:t>
      </w:r>
      <w:r>
        <w:rPr>
          <w:rFonts w:ascii="Arial" w:hAnsi="Arial" w:cs="Arial"/>
          <w:b/>
          <w:sz w:val="28"/>
          <w:u w:val="single"/>
        </w:rPr>
        <w:t>Table</w:t>
      </w:r>
    </w:p>
    <w:p w14:paraId="535085DE" w14:textId="77777777" w:rsidR="00B86960" w:rsidRPr="003C307A" w:rsidRDefault="00B86960" w:rsidP="00C272CB">
      <w:pPr>
        <w:spacing w:after="0" w:line="480" w:lineRule="auto"/>
        <w:rPr>
          <w:rFonts w:ascii="Arial" w:hAnsi="Arial" w:cs="Arial"/>
          <w:i/>
          <w:sz w:val="18"/>
          <w:szCs w:val="20"/>
        </w:rPr>
      </w:pPr>
      <w:r w:rsidRPr="003C307A">
        <w:rPr>
          <w:rFonts w:ascii="Arial" w:hAnsi="Arial" w:cs="Arial"/>
          <w:b/>
          <w:sz w:val="24"/>
          <w:szCs w:val="26"/>
        </w:rPr>
        <w:t>Supplementary Table 1</w:t>
      </w:r>
      <w:r w:rsidRPr="003C307A">
        <w:rPr>
          <w:rFonts w:ascii="Arial" w:hAnsi="Arial" w:cs="Arial"/>
          <w:sz w:val="24"/>
          <w:szCs w:val="26"/>
        </w:rPr>
        <w:t xml:space="preserve"> Weighted </w:t>
      </w:r>
      <w:proofErr w:type="spellStart"/>
      <w:r w:rsidRPr="003C307A">
        <w:rPr>
          <w:rFonts w:ascii="Arial" w:hAnsi="Arial" w:cs="Arial"/>
          <w:sz w:val="24"/>
          <w:szCs w:val="26"/>
        </w:rPr>
        <w:t>percentages</w:t>
      </w:r>
      <w:r w:rsidRPr="003C307A">
        <w:rPr>
          <w:rFonts w:ascii="Arial" w:hAnsi="Arial" w:cs="Arial"/>
          <w:sz w:val="24"/>
          <w:szCs w:val="26"/>
          <w:vertAlign w:val="superscript"/>
        </w:rPr>
        <w:t>a</w:t>
      </w:r>
      <w:proofErr w:type="spellEnd"/>
      <w:r w:rsidRPr="003C307A">
        <w:rPr>
          <w:rFonts w:ascii="Arial" w:hAnsi="Arial" w:cs="Arial"/>
          <w:sz w:val="24"/>
          <w:szCs w:val="26"/>
        </w:rPr>
        <w:t xml:space="preserve"> of all patients with COPD who fulfilled the conditions of being treated with triple therapy, experienced ≥2 moderate or ≥1 severe AECOPD in the 12 months prior to index date and had a blood eosinophil count of ≥150 (T-AECOPD-EOS150 cohort) or ≥300 cells/µL (T-AECOPD-EOS300 cohort) by country</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1281"/>
        <w:gridCol w:w="1282"/>
        <w:gridCol w:w="1281"/>
        <w:gridCol w:w="1282"/>
        <w:gridCol w:w="1282"/>
      </w:tblGrid>
      <w:tr w:rsidR="00B86960" w:rsidRPr="008C3ABF" w14:paraId="0B193E67" w14:textId="77777777" w:rsidTr="00BB08EC">
        <w:trPr>
          <w:trHeight w:val="315"/>
        </w:trPr>
        <w:tc>
          <w:tcPr>
            <w:tcW w:w="2992" w:type="dxa"/>
            <w:shd w:val="clear" w:color="auto" w:fill="auto"/>
            <w:noWrap/>
            <w:vAlign w:val="bottom"/>
          </w:tcPr>
          <w:p w14:paraId="532C7AE0" w14:textId="77777777" w:rsidR="00B86960" w:rsidRPr="00044294" w:rsidRDefault="00B86960" w:rsidP="00BB08EC">
            <w:pPr>
              <w:spacing w:after="0" w:line="480" w:lineRule="auto"/>
              <w:rPr>
                <w:rFonts w:ascii="Arial" w:hAnsi="Arial" w:cs="Arial"/>
                <w:b/>
                <w:color w:val="000000"/>
                <w:sz w:val="20"/>
                <w:szCs w:val="20"/>
              </w:rPr>
            </w:pPr>
          </w:p>
        </w:tc>
        <w:tc>
          <w:tcPr>
            <w:tcW w:w="6408" w:type="dxa"/>
            <w:gridSpan w:val="5"/>
            <w:shd w:val="clear" w:color="auto" w:fill="auto"/>
            <w:noWrap/>
            <w:vAlign w:val="bottom"/>
          </w:tcPr>
          <w:p w14:paraId="6C72CC6C" w14:textId="77777777" w:rsidR="00B86960" w:rsidRPr="00044294" w:rsidRDefault="00B86960" w:rsidP="00BB08EC">
            <w:pPr>
              <w:spacing w:after="0" w:line="480" w:lineRule="auto"/>
              <w:jc w:val="center"/>
              <w:rPr>
                <w:rFonts w:ascii="Arial" w:hAnsi="Arial" w:cs="Arial"/>
                <w:b/>
                <w:color w:val="000000"/>
                <w:sz w:val="20"/>
                <w:szCs w:val="20"/>
              </w:rPr>
            </w:pPr>
            <w:r w:rsidRPr="00044294">
              <w:rPr>
                <w:rFonts w:ascii="Arial" w:hAnsi="Arial" w:cs="Arial"/>
                <w:color w:val="000000"/>
                <w:sz w:val="20"/>
                <w:szCs w:val="20"/>
              </w:rPr>
              <w:t>n (weighted percentages)</w:t>
            </w:r>
          </w:p>
        </w:tc>
      </w:tr>
      <w:tr w:rsidR="00B86960" w:rsidRPr="008C3ABF" w14:paraId="0B09A11F" w14:textId="77777777" w:rsidTr="00BB08EC">
        <w:trPr>
          <w:trHeight w:val="315"/>
        </w:trPr>
        <w:tc>
          <w:tcPr>
            <w:tcW w:w="2992" w:type="dxa"/>
            <w:shd w:val="clear" w:color="auto" w:fill="auto"/>
            <w:noWrap/>
            <w:vAlign w:val="bottom"/>
            <w:hideMark/>
          </w:tcPr>
          <w:p w14:paraId="627BAFEF" w14:textId="77777777" w:rsidR="00B86960" w:rsidRPr="00044294" w:rsidRDefault="00B86960" w:rsidP="00BB08EC">
            <w:pPr>
              <w:spacing w:after="0" w:line="480" w:lineRule="auto"/>
              <w:rPr>
                <w:rFonts w:ascii="Arial" w:hAnsi="Arial" w:cs="Arial"/>
                <w:b/>
                <w:color w:val="000000"/>
                <w:sz w:val="20"/>
                <w:szCs w:val="20"/>
              </w:rPr>
            </w:pPr>
          </w:p>
        </w:tc>
        <w:tc>
          <w:tcPr>
            <w:tcW w:w="1281" w:type="dxa"/>
            <w:shd w:val="clear" w:color="auto" w:fill="auto"/>
            <w:noWrap/>
            <w:vAlign w:val="bottom"/>
            <w:hideMark/>
          </w:tcPr>
          <w:p w14:paraId="3E195EB5" w14:textId="77777777" w:rsidR="00B86960" w:rsidRPr="00044294" w:rsidRDefault="00B86960" w:rsidP="00BB08EC">
            <w:pPr>
              <w:tabs>
                <w:tab w:val="left" w:pos="4446"/>
              </w:tabs>
              <w:spacing w:after="0" w:line="480" w:lineRule="auto"/>
              <w:jc w:val="center"/>
              <w:rPr>
                <w:rFonts w:ascii="Arial" w:hAnsi="Arial" w:cs="Arial"/>
                <w:b/>
                <w:color w:val="000000"/>
                <w:sz w:val="20"/>
                <w:szCs w:val="20"/>
              </w:rPr>
            </w:pPr>
            <w:r w:rsidRPr="00044294">
              <w:rPr>
                <w:rFonts w:ascii="Arial" w:hAnsi="Arial" w:cs="Arial"/>
                <w:b/>
                <w:color w:val="000000"/>
                <w:sz w:val="20"/>
                <w:szCs w:val="20"/>
              </w:rPr>
              <w:t>France</w:t>
            </w:r>
          </w:p>
          <w:p w14:paraId="6E531B65" w14:textId="77777777" w:rsidR="00B86960" w:rsidRPr="00044294" w:rsidRDefault="00B86960" w:rsidP="00BB08EC">
            <w:pPr>
              <w:tabs>
                <w:tab w:val="left" w:pos="4446"/>
              </w:tabs>
              <w:spacing w:after="0" w:line="480" w:lineRule="auto"/>
              <w:jc w:val="center"/>
              <w:rPr>
                <w:rFonts w:ascii="Arial" w:hAnsi="Arial" w:cs="Arial"/>
                <w:b/>
                <w:color w:val="000000"/>
                <w:sz w:val="20"/>
                <w:szCs w:val="20"/>
              </w:rPr>
            </w:pPr>
            <w:r w:rsidRPr="00044294">
              <w:rPr>
                <w:rFonts w:ascii="Arial" w:hAnsi="Arial" w:cs="Arial"/>
                <w:b/>
                <w:color w:val="000000"/>
                <w:sz w:val="20"/>
                <w:szCs w:val="20"/>
              </w:rPr>
              <w:t>(n=565)</w:t>
            </w:r>
          </w:p>
        </w:tc>
        <w:tc>
          <w:tcPr>
            <w:tcW w:w="1282" w:type="dxa"/>
            <w:shd w:val="clear" w:color="auto" w:fill="auto"/>
            <w:noWrap/>
            <w:vAlign w:val="bottom"/>
            <w:hideMark/>
          </w:tcPr>
          <w:p w14:paraId="054EE323" w14:textId="77777777" w:rsidR="00B86960" w:rsidRPr="00044294" w:rsidRDefault="00B86960" w:rsidP="00BB08EC">
            <w:pPr>
              <w:tabs>
                <w:tab w:val="left" w:pos="4446"/>
              </w:tabs>
              <w:spacing w:after="0" w:line="480" w:lineRule="auto"/>
              <w:jc w:val="center"/>
              <w:rPr>
                <w:rFonts w:ascii="Arial" w:hAnsi="Arial" w:cs="Arial"/>
                <w:b/>
                <w:color w:val="000000"/>
                <w:sz w:val="20"/>
                <w:szCs w:val="20"/>
              </w:rPr>
            </w:pPr>
            <w:r w:rsidRPr="00044294">
              <w:rPr>
                <w:rFonts w:ascii="Arial" w:hAnsi="Arial" w:cs="Arial"/>
                <w:b/>
                <w:color w:val="000000"/>
                <w:sz w:val="20"/>
                <w:szCs w:val="20"/>
              </w:rPr>
              <w:t>Germany</w:t>
            </w:r>
          </w:p>
          <w:p w14:paraId="3E6C697E" w14:textId="77777777" w:rsidR="00B86960" w:rsidRPr="00044294" w:rsidRDefault="00B86960" w:rsidP="00BB08EC">
            <w:pPr>
              <w:spacing w:after="0" w:line="480" w:lineRule="auto"/>
              <w:jc w:val="center"/>
              <w:rPr>
                <w:rFonts w:ascii="Arial" w:hAnsi="Arial" w:cs="Arial"/>
                <w:b/>
                <w:color w:val="000000"/>
                <w:sz w:val="20"/>
                <w:szCs w:val="20"/>
              </w:rPr>
            </w:pPr>
            <w:r w:rsidRPr="00044294">
              <w:rPr>
                <w:rFonts w:ascii="Arial" w:hAnsi="Arial" w:cs="Arial"/>
                <w:b/>
                <w:color w:val="000000"/>
                <w:sz w:val="20"/>
                <w:szCs w:val="20"/>
              </w:rPr>
              <w:t>(n=587)</w:t>
            </w:r>
          </w:p>
        </w:tc>
        <w:tc>
          <w:tcPr>
            <w:tcW w:w="1281" w:type="dxa"/>
            <w:shd w:val="clear" w:color="auto" w:fill="auto"/>
            <w:noWrap/>
            <w:vAlign w:val="bottom"/>
            <w:hideMark/>
          </w:tcPr>
          <w:p w14:paraId="6017CDF4" w14:textId="77777777" w:rsidR="00B86960" w:rsidRPr="00044294" w:rsidRDefault="00B86960" w:rsidP="00BB08EC">
            <w:pPr>
              <w:tabs>
                <w:tab w:val="left" w:pos="4446"/>
              </w:tabs>
              <w:spacing w:after="0" w:line="480" w:lineRule="auto"/>
              <w:jc w:val="center"/>
              <w:rPr>
                <w:rFonts w:ascii="Arial" w:hAnsi="Arial" w:cs="Arial"/>
                <w:b/>
                <w:color w:val="000000"/>
                <w:sz w:val="20"/>
                <w:szCs w:val="20"/>
              </w:rPr>
            </w:pPr>
            <w:r w:rsidRPr="00044294">
              <w:rPr>
                <w:rFonts w:ascii="Arial" w:hAnsi="Arial" w:cs="Arial"/>
                <w:b/>
                <w:color w:val="000000"/>
                <w:sz w:val="20"/>
                <w:szCs w:val="20"/>
              </w:rPr>
              <w:t>Italy</w:t>
            </w:r>
          </w:p>
          <w:p w14:paraId="0C44F8EA" w14:textId="77777777" w:rsidR="00B86960" w:rsidRPr="00044294" w:rsidRDefault="00B86960" w:rsidP="00BB08EC">
            <w:pPr>
              <w:spacing w:after="0" w:line="480" w:lineRule="auto"/>
              <w:jc w:val="center"/>
              <w:rPr>
                <w:rFonts w:ascii="Arial" w:hAnsi="Arial" w:cs="Arial"/>
                <w:b/>
                <w:color w:val="000000"/>
                <w:sz w:val="20"/>
                <w:szCs w:val="20"/>
              </w:rPr>
            </w:pPr>
            <w:r w:rsidRPr="00044294">
              <w:rPr>
                <w:rFonts w:ascii="Arial" w:hAnsi="Arial" w:cs="Arial"/>
                <w:b/>
                <w:color w:val="000000"/>
                <w:sz w:val="20"/>
                <w:szCs w:val="20"/>
              </w:rPr>
              <w:t>(n=580)</w:t>
            </w:r>
          </w:p>
        </w:tc>
        <w:tc>
          <w:tcPr>
            <w:tcW w:w="1282" w:type="dxa"/>
            <w:shd w:val="clear" w:color="auto" w:fill="auto"/>
            <w:noWrap/>
            <w:vAlign w:val="bottom"/>
            <w:hideMark/>
          </w:tcPr>
          <w:p w14:paraId="4D0DD25E" w14:textId="77777777" w:rsidR="00B86960" w:rsidRPr="00044294" w:rsidRDefault="00B86960" w:rsidP="00BB08EC">
            <w:pPr>
              <w:tabs>
                <w:tab w:val="left" w:pos="4446"/>
              </w:tabs>
              <w:spacing w:after="0" w:line="480" w:lineRule="auto"/>
              <w:jc w:val="center"/>
              <w:rPr>
                <w:rFonts w:ascii="Arial" w:hAnsi="Arial" w:cs="Arial"/>
                <w:b/>
                <w:color w:val="000000"/>
                <w:sz w:val="20"/>
                <w:szCs w:val="20"/>
              </w:rPr>
            </w:pPr>
            <w:r w:rsidRPr="00044294">
              <w:rPr>
                <w:rFonts w:ascii="Arial" w:hAnsi="Arial" w:cs="Arial"/>
                <w:b/>
                <w:color w:val="000000"/>
                <w:sz w:val="20"/>
                <w:szCs w:val="20"/>
              </w:rPr>
              <w:t>Spain</w:t>
            </w:r>
          </w:p>
          <w:p w14:paraId="264C442E" w14:textId="77777777" w:rsidR="00B86960" w:rsidRPr="00044294" w:rsidRDefault="00B86960" w:rsidP="00BB08EC">
            <w:pPr>
              <w:spacing w:after="0" w:line="480" w:lineRule="auto"/>
              <w:jc w:val="center"/>
              <w:rPr>
                <w:rFonts w:ascii="Arial" w:hAnsi="Arial" w:cs="Arial"/>
                <w:b/>
                <w:color w:val="000000"/>
                <w:sz w:val="20"/>
                <w:szCs w:val="20"/>
              </w:rPr>
            </w:pPr>
            <w:r w:rsidRPr="00044294">
              <w:rPr>
                <w:rFonts w:ascii="Arial" w:hAnsi="Arial" w:cs="Arial"/>
                <w:b/>
                <w:color w:val="000000"/>
                <w:sz w:val="20"/>
                <w:szCs w:val="20"/>
              </w:rPr>
              <w:t>(n=583)</w:t>
            </w:r>
          </w:p>
        </w:tc>
        <w:tc>
          <w:tcPr>
            <w:tcW w:w="1282" w:type="dxa"/>
            <w:shd w:val="clear" w:color="auto" w:fill="auto"/>
            <w:noWrap/>
            <w:vAlign w:val="bottom"/>
            <w:hideMark/>
          </w:tcPr>
          <w:p w14:paraId="56E05EFE" w14:textId="77777777" w:rsidR="00B86960" w:rsidRPr="00044294" w:rsidRDefault="00B86960" w:rsidP="00BB08EC">
            <w:pPr>
              <w:tabs>
                <w:tab w:val="left" w:pos="4446"/>
              </w:tabs>
              <w:spacing w:after="0" w:line="480" w:lineRule="auto"/>
              <w:jc w:val="center"/>
              <w:rPr>
                <w:rFonts w:ascii="Arial" w:hAnsi="Arial" w:cs="Arial"/>
                <w:b/>
                <w:color w:val="000000"/>
                <w:sz w:val="20"/>
                <w:szCs w:val="20"/>
              </w:rPr>
            </w:pPr>
            <w:r w:rsidRPr="00044294">
              <w:rPr>
                <w:rFonts w:ascii="Arial" w:hAnsi="Arial" w:cs="Arial"/>
                <w:b/>
                <w:color w:val="000000"/>
                <w:sz w:val="20"/>
                <w:szCs w:val="20"/>
              </w:rPr>
              <w:t>UK</w:t>
            </w:r>
          </w:p>
          <w:p w14:paraId="78A91EA5" w14:textId="77777777" w:rsidR="00B86960" w:rsidRPr="00044294" w:rsidRDefault="00B86960" w:rsidP="00BB08EC">
            <w:pPr>
              <w:spacing w:after="0" w:line="480" w:lineRule="auto"/>
              <w:jc w:val="center"/>
              <w:rPr>
                <w:rFonts w:ascii="Arial" w:hAnsi="Arial" w:cs="Arial"/>
                <w:b/>
                <w:color w:val="000000"/>
                <w:sz w:val="20"/>
                <w:szCs w:val="20"/>
              </w:rPr>
            </w:pPr>
            <w:r w:rsidRPr="00044294">
              <w:rPr>
                <w:rFonts w:ascii="Arial" w:hAnsi="Arial" w:cs="Arial"/>
                <w:b/>
                <w:color w:val="000000"/>
                <w:sz w:val="20"/>
                <w:szCs w:val="20"/>
              </w:rPr>
              <w:t>(n=561)</w:t>
            </w:r>
          </w:p>
        </w:tc>
      </w:tr>
      <w:tr w:rsidR="00B86960" w:rsidRPr="008C3ABF" w14:paraId="09718372" w14:textId="77777777" w:rsidTr="00BB08EC">
        <w:trPr>
          <w:trHeight w:val="300"/>
        </w:trPr>
        <w:tc>
          <w:tcPr>
            <w:tcW w:w="2992" w:type="dxa"/>
            <w:shd w:val="clear" w:color="auto" w:fill="auto"/>
            <w:noWrap/>
            <w:vAlign w:val="bottom"/>
            <w:hideMark/>
          </w:tcPr>
          <w:p w14:paraId="0B76DB6F" w14:textId="77777777" w:rsidR="00B86960" w:rsidRPr="00044294" w:rsidRDefault="00B86960" w:rsidP="00BB08EC">
            <w:pPr>
              <w:spacing w:after="0" w:line="480" w:lineRule="auto"/>
              <w:rPr>
                <w:rFonts w:ascii="Arial" w:hAnsi="Arial" w:cs="Arial"/>
                <w:b/>
                <w:color w:val="000000"/>
                <w:sz w:val="20"/>
                <w:szCs w:val="20"/>
              </w:rPr>
            </w:pPr>
            <w:r w:rsidRPr="00044294">
              <w:rPr>
                <w:rFonts w:ascii="Arial" w:hAnsi="Arial" w:cs="Arial"/>
                <w:b/>
                <w:color w:val="000000"/>
                <w:sz w:val="20"/>
                <w:szCs w:val="20"/>
              </w:rPr>
              <w:t>Proportion of patients currently prescribed maintenance treatment</w:t>
            </w:r>
            <w:r w:rsidRPr="00044294">
              <w:rPr>
                <w:rFonts w:ascii="Arial" w:hAnsi="Arial" w:cs="Arial"/>
                <w:b/>
                <w:bCs/>
                <w:color w:val="000000"/>
                <w:sz w:val="20"/>
                <w:szCs w:val="20"/>
              </w:rPr>
              <w:t xml:space="preserve"> (%)</w:t>
            </w:r>
          </w:p>
        </w:tc>
        <w:tc>
          <w:tcPr>
            <w:tcW w:w="1281" w:type="dxa"/>
            <w:shd w:val="clear" w:color="auto" w:fill="auto"/>
            <w:noWrap/>
            <w:vAlign w:val="bottom"/>
            <w:hideMark/>
          </w:tcPr>
          <w:p w14:paraId="69CCFB80"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96.9</w:t>
            </w:r>
          </w:p>
        </w:tc>
        <w:tc>
          <w:tcPr>
            <w:tcW w:w="1282" w:type="dxa"/>
            <w:shd w:val="clear" w:color="auto" w:fill="auto"/>
            <w:noWrap/>
            <w:vAlign w:val="bottom"/>
            <w:hideMark/>
          </w:tcPr>
          <w:p w14:paraId="77D956F5"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92.2</w:t>
            </w:r>
          </w:p>
        </w:tc>
        <w:tc>
          <w:tcPr>
            <w:tcW w:w="1281" w:type="dxa"/>
            <w:shd w:val="clear" w:color="auto" w:fill="auto"/>
            <w:noWrap/>
            <w:vAlign w:val="bottom"/>
            <w:hideMark/>
          </w:tcPr>
          <w:p w14:paraId="67E9DFB3"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98.2</w:t>
            </w:r>
          </w:p>
        </w:tc>
        <w:tc>
          <w:tcPr>
            <w:tcW w:w="1282" w:type="dxa"/>
            <w:shd w:val="clear" w:color="auto" w:fill="auto"/>
            <w:noWrap/>
            <w:vAlign w:val="bottom"/>
            <w:hideMark/>
          </w:tcPr>
          <w:p w14:paraId="1237C90C"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96.7</w:t>
            </w:r>
          </w:p>
        </w:tc>
        <w:tc>
          <w:tcPr>
            <w:tcW w:w="1282" w:type="dxa"/>
            <w:shd w:val="clear" w:color="auto" w:fill="auto"/>
            <w:noWrap/>
            <w:vAlign w:val="bottom"/>
            <w:hideMark/>
          </w:tcPr>
          <w:p w14:paraId="01287DDF"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88.5</w:t>
            </w:r>
          </w:p>
        </w:tc>
      </w:tr>
      <w:tr w:rsidR="00B86960" w:rsidRPr="008C3ABF" w14:paraId="03E2EDB7" w14:textId="77777777" w:rsidTr="00BB08EC">
        <w:trPr>
          <w:trHeight w:val="300"/>
        </w:trPr>
        <w:tc>
          <w:tcPr>
            <w:tcW w:w="2992" w:type="dxa"/>
            <w:shd w:val="clear" w:color="auto" w:fill="auto"/>
            <w:noWrap/>
            <w:vAlign w:val="bottom"/>
            <w:hideMark/>
          </w:tcPr>
          <w:p w14:paraId="62CC5F11" w14:textId="77777777" w:rsidR="00B86960" w:rsidRPr="00044294" w:rsidRDefault="00B86960" w:rsidP="00BB08EC">
            <w:pPr>
              <w:spacing w:after="0" w:line="480" w:lineRule="auto"/>
              <w:rPr>
                <w:rFonts w:ascii="Arial" w:hAnsi="Arial" w:cs="Arial"/>
                <w:i/>
                <w:color w:val="000000"/>
                <w:sz w:val="20"/>
                <w:szCs w:val="20"/>
              </w:rPr>
            </w:pPr>
            <w:r w:rsidRPr="00044294">
              <w:rPr>
                <w:rFonts w:ascii="Arial" w:hAnsi="Arial" w:cs="Arial"/>
                <w:i/>
                <w:color w:val="000000"/>
                <w:sz w:val="20"/>
                <w:szCs w:val="20"/>
              </w:rPr>
              <w:t>% based on denominator</w:t>
            </w:r>
          </w:p>
        </w:tc>
        <w:tc>
          <w:tcPr>
            <w:tcW w:w="1281" w:type="dxa"/>
            <w:shd w:val="clear" w:color="auto" w:fill="auto"/>
            <w:noWrap/>
            <w:vAlign w:val="bottom"/>
            <w:hideMark/>
          </w:tcPr>
          <w:p w14:paraId="5567EC6C"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96.9</w:t>
            </w:r>
          </w:p>
        </w:tc>
        <w:tc>
          <w:tcPr>
            <w:tcW w:w="1282" w:type="dxa"/>
            <w:shd w:val="clear" w:color="auto" w:fill="auto"/>
            <w:noWrap/>
            <w:vAlign w:val="bottom"/>
            <w:hideMark/>
          </w:tcPr>
          <w:p w14:paraId="0EE5DA48"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92.2</w:t>
            </w:r>
          </w:p>
        </w:tc>
        <w:tc>
          <w:tcPr>
            <w:tcW w:w="1281" w:type="dxa"/>
            <w:shd w:val="clear" w:color="auto" w:fill="auto"/>
            <w:noWrap/>
            <w:vAlign w:val="bottom"/>
            <w:hideMark/>
          </w:tcPr>
          <w:p w14:paraId="22F3B6FA"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98.2</w:t>
            </w:r>
          </w:p>
        </w:tc>
        <w:tc>
          <w:tcPr>
            <w:tcW w:w="1282" w:type="dxa"/>
            <w:shd w:val="clear" w:color="auto" w:fill="auto"/>
            <w:noWrap/>
            <w:vAlign w:val="bottom"/>
            <w:hideMark/>
          </w:tcPr>
          <w:p w14:paraId="7ABF5ED9"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96.7</w:t>
            </w:r>
          </w:p>
        </w:tc>
        <w:tc>
          <w:tcPr>
            <w:tcW w:w="1282" w:type="dxa"/>
            <w:shd w:val="clear" w:color="auto" w:fill="auto"/>
            <w:noWrap/>
            <w:vAlign w:val="bottom"/>
            <w:hideMark/>
          </w:tcPr>
          <w:p w14:paraId="1AA6965B"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88.5</w:t>
            </w:r>
          </w:p>
        </w:tc>
      </w:tr>
      <w:tr w:rsidR="00B86960" w:rsidRPr="008C3ABF" w14:paraId="653A998C" w14:textId="77777777" w:rsidTr="00BB08EC">
        <w:trPr>
          <w:trHeight w:val="300"/>
        </w:trPr>
        <w:tc>
          <w:tcPr>
            <w:tcW w:w="2992" w:type="dxa"/>
            <w:shd w:val="clear" w:color="auto" w:fill="auto"/>
            <w:noWrap/>
            <w:vAlign w:val="bottom"/>
            <w:hideMark/>
          </w:tcPr>
          <w:p w14:paraId="33C631FD" w14:textId="77777777" w:rsidR="00B86960" w:rsidRPr="00044294" w:rsidRDefault="00B86960" w:rsidP="00BB08EC">
            <w:pPr>
              <w:spacing w:after="0" w:line="480" w:lineRule="auto"/>
              <w:rPr>
                <w:rFonts w:ascii="Arial" w:hAnsi="Arial" w:cs="Arial"/>
                <w:b/>
                <w:color w:val="000000"/>
                <w:sz w:val="20"/>
                <w:szCs w:val="20"/>
              </w:rPr>
            </w:pPr>
            <w:r w:rsidRPr="00044294">
              <w:rPr>
                <w:rFonts w:ascii="Arial" w:hAnsi="Arial" w:cs="Arial"/>
                <w:b/>
                <w:color w:val="000000"/>
                <w:sz w:val="20"/>
                <w:szCs w:val="20"/>
              </w:rPr>
              <w:t>… and currently prescribed triple therapy</w:t>
            </w:r>
            <w:r w:rsidRPr="00044294">
              <w:rPr>
                <w:rFonts w:ascii="Arial" w:hAnsi="Arial" w:cs="Arial"/>
                <w:b/>
                <w:bCs/>
                <w:color w:val="000000"/>
                <w:sz w:val="20"/>
                <w:szCs w:val="20"/>
              </w:rPr>
              <w:t xml:space="preserve"> (%)</w:t>
            </w:r>
          </w:p>
        </w:tc>
        <w:tc>
          <w:tcPr>
            <w:tcW w:w="1281" w:type="dxa"/>
            <w:shd w:val="clear" w:color="auto" w:fill="auto"/>
            <w:noWrap/>
            <w:vAlign w:val="bottom"/>
            <w:hideMark/>
          </w:tcPr>
          <w:p w14:paraId="55788CB4"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25.2</w:t>
            </w:r>
          </w:p>
        </w:tc>
        <w:tc>
          <w:tcPr>
            <w:tcW w:w="1282" w:type="dxa"/>
            <w:shd w:val="clear" w:color="auto" w:fill="auto"/>
            <w:noWrap/>
            <w:vAlign w:val="bottom"/>
            <w:hideMark/>
          </w:tcPr>
          <w:p w14:paraId="0CBAAE69"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17.9</w:t>
            </w:r>
          </w:p>
        </w:tc>
        <w:tc>
          <w:tcPr>
            <w:tcW w:w="1281" w:type="dxa"/>
            <w:shd w:val="clear" w:color="auto" w:fill="auto"/>
            <w:noWrap/>
            <w:vAlign w:val="bottom"/>
            <w:hideMark/>
          </w:tcPr>
          <w:p w14:paraId="70C19D86"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13.7</w:t>
            </w:r>
          </w:p>
        </w:tc>
        <w:tc>
          <w:tcPr>
            <w:tcW w:w="1282" w:type="dxa"/>
            <w:shd w:val="clear" w:color="auto" w:fill="auto"/>
            <w:noWrap/>
            <w:vAlign w:val="bottom"/>
            <w:hideMark/>
          </w:tcPr>
          <w:p w14:paraId="4EC52466"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31.1</w:t>
            </w:r>
          </w:p>
        </w:tc>
        <w:tc>
          <w:tcPr>
            <w:tcW w:w="1282" w:type="dxa"/>
            <w:shd w:val="clear" w:color="auto" w:fill="auto"/>
            <w:noWrap/>
            <w:vAlign w:val="bottom"/>
            <w:hideMark/>
          </w:tcPr>
          <w:p w14:paraId="7C124DAB"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34.8</w:t>
            </w:r>
          </w:p>
        </w:tc>
      </w:tr>
      <w:tr w:rsidR="00B86960" w:rsidRPr="008C3ABF" w14:paraId="08E7E54C" w14:textId="77777777" w:rsidTr="00BB08EC">
        <w:trPr>
          <w:trHeight w:val="300"/>
        </w:trPr>
        <w:tc>
          <w:tcPr>
            <w:tcW w:w="2992" w:type="dxa"/>
            <w:shd w:val="clear" w:color="auto" w:fill="auto"/>
            <w:noWrap/>
            <w:vAlign w:val="bottom"/>
            <w:hideMark/>
          </w:tcPr>
          <w:p w14:paraId="14217697" w14:textId="77777777" w:rsidR="00B86960" w:rsidRPr="00044294" w:rsidRDefault="00B86960" w:rsidP="00BB08EC">
            <w:pPr>
              <w:spacing w:after="0" w:line="480" w:lineRule="auto"/>
              <w:rPr>
                <w:rFonts w:ascii="Arial" w:hAnsi="Arial" w:cs="Arial"/>
                <w:i/>
                <w:color w:val="000000"/>
                <w:sz w:val="20"/>
                <w:szCs w:val="20"/>
              </w:rPr>
            </w:pPr>
            <w:r w:rsidRPr="00044294">
              <w:rPr>
                <w:rFonts w:ascii="Arial" w:hAnsi="Arial" w:cs="Arial"/>
                <w:i/>
                <w:color w:val="000000"/>
                <w:sz w:val="20"/>
                <w:szCs w:val="20"/>
              </w:rPr>
              <w:t>% based on denominator</w:t>
            </w:r>
          </w:p>
        </w:tc>
        <w:tc>
          <w:tcPr>
            <w:tcW w:w="1281" w:type="dxa"/>
            <w:shd w:val="clear" w:color="auto" w:fill="auto"/>
            <w:noWrap/>
            <w:vAlign w:val="bottom"/>
            <w:hideMark/>
          </w:tcPr>
          <w:p w14:paraId="62CF3374"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24.4</w:t>
            </w:r>
          </w:p>
        </w:tc>
        <w:tc>
          <w:tcPr>
            <w:tcW w:w="1282" w:type="dxa"/>
            <w:shd w:val="clear" w:color="auto" w:fill="auto"/>
            <w:noWrap/>
            <w:vAlign w:val="bottom"/>
            <w:hideMark/>
          </w:tcPr>
          <w:p w14:paraId="41F5D69C"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16.5</w:t>
            </w:r>
          </w:p>
        </w:tc>
        <w:tc>
          <w:tcPr>
            <w:tcW w:w="1281" w:type="dxa"/>
            <w:shd w:val="clear" w:color="auto" w:fill="auto"/>
            <w:noWrap/>
            <w:vAlign w:val="bottom"/>
            <w:hideMark/>
          </w:tcPr>
          <w:p w14:paraId="0F3706FA"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13.5</w:t>
            </w:r>
          </w:p>
        </w:tc>
        <w:tc>
          <w:tcPr>
            <w:tcW w:w="1282" w:type="dxa"/>
            <w:shd w:val="clear" w:color="auto" w:fill="auto"/>
            <w:noWrap/>
            <w:vAlign w:val="bottom"/>
            <w:hideMark/>
          </w:tcPr>
          <w:p w14:paraId="4D13524D"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30.0</w:t>
            </w:r>
          </w:p>
        </w:tc>
        <w:tc>
          <w:tcPr>
            <w:tcW w:w="1282" w:type="dxa"/>
            <w:shd w:val="clear" w:color="auto" w:fill="auto"/>
            <w:noWrap/>
            <w:vAlign w:val="bottom"/>
            <w:hideMark/>
          </w:tcPr>
          <w:p w14:paraId="794937A0"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30.8</w:t>
            </w:r>
          </w:p>
        </w:tc>
      </w:tr>
      <w:tr w:rsidR="00B86960" w:rsidRPr="008C3ABF" w14:paraId="03A66BE9" w14:textId="77777777" w:rsidTr="00BB08EC">
        <w:trPr>
          <w:trHeight w:val="300"/>
        </w:trPr>
        <w:tc>
          <w:tcPr>
            <w:tcW w:w="2992" w:type="dxa"/>
            <w:shd w:val="clear" w:color="auto" w:fill="auto"/>
            <w:noWrap/>
            <w:vAlign w:val="bottom"/>
            <w:hideMark/>
          </w:tcPr>
          <w:p w14:paraId="435444F0" w14:textId="77777777" w:rsidR="00B86960" w:rsidRPr="00044294" w:rsidRDefault="00B86960" w:rsidP="00BB08EC">
            <w:pPr>
              <w:spacing w:after="0" w:line="480" w:lineRule="auto"/>
              <w:rPr>
                <w:rFonts w:ascii="Arial" w:hAnsi="Arial" w:cs="Arial"/>
                <w:b/>
                <w:color w:val="000000"/>
                <w:sz w:val="20"/>
                <w:szCs w:val="20"/>
              </w:rPr>
            </w:pPr>
            <w:r w:rsidRPr="00044294">
              <w:rPr>
                <w:rFonts w:ascii="Arial" w:hAnsi="Arial" w:cs="Arial"/>
                <w:b/>
                <w:color w:val="000000"/>
                <w:sz w:val="20"/>
                <w:szCs w:val="20"/>
              </w:rPr>
              <w:t>… … and experienced ≥1 severe or ≥2 moderate AECOPD in the last 12 months</w:t>
            </w:r>
            <w:r w:rsidRPr="00044294">
              <w:rPr>
                <w:rFonts w:ascii="Arial" w:hAnsi="Arial" w:cs="Arial"/>
                <w:b/>
                <w:bCs/>
                <w:color w:val="000000"/>
                <w:sz w:val="20"/>
                <w:szCs w:val="20"/>
              </w:rPr>
              <w:t xml:space="preserve"> (%)</w:t>
            </w:r>
          </w:p>
        </w:tc>
        <w:tc>
          <w:tcPr>
            <w:tcW w:w="1281" w:type="dxa"/>
            <w:shd w:val="clear" w:color="auto" w:fill="auto"/>
            <w:noWrap/>
            <w:vAlign w:val="bottom"/>
            <w:hideMark/>
          </w:tcPr>
          <w:p w14:paraId="12E58B19"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64.6</w:t>
            </w:r>
          </w:p>
        </w:tc>
        <w:tc>
          <w:tcPr>
            <w:tcW w:w="1282" w:type="dxa"/>
            <w:shd w:val="clear" w:color="auto" w:fill="auto"/>
            <w:noWrap/>
            <w:vAlign w:val="bottom"/>
            <w:hideMark/>
          </w:tcPr>
          <w:p w14:paraId="0B1604BE"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43.1</w:t>
            </w:r>
          </w:p>
        </w:tc>
        <w:tc>
          <w:tcPr>
            <w:tcW w:w="1281" w:type="dxa"/>
            <w:shd w:val="clear" w:color="auto" w:fill="auto"/>
            <w:noWrap/>
            <w:vAlign w:val="bottom"/>
            <w:hideMark/>
          </w:tcPr>
          <w:p w14:paraId="66C0AB83"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65.0</w:t>
            </w:r>
          </w:p>
        </w:tc>
        <w:tc>
          <w:tcPr>
            <w:tcW w:w="1282" w:type="dxa"/>
            <w:shd w:val="clear" w:color="auto" w:fill="auto"/>
            <w:noWrap/>
            <w:vAlign w:val="bottom"/>
            <w:hideMark/>
          </w:tcPr>
          <w:p w14:paraId="0880AD2A"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67.8</w:t>
            </w:r>
          </w:p>
        </w:tc>
        <w:tc>
          <w:tcPr>
            <w:tcW w:w="1282" w:type="dxa"/>
            <w:shd w:val="clear" w:color="auto" w:fill="auto"/>
            <w:noWrap/>
            <w:vAlign w:val="bottom"/>
            <w:hideMark/>
          </w:tcPr>
          <w:p w14:paraId="4B7FDF4D"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65.5</w:t>
            </w:r>
          </w:p>
        </w:tc>
      </w:tr>
      <w:tr w:rsidR="00B86960" w:rsidRPr="008C3ABF" w14:paraId="287ABB3E" w14:textId="77777777" w:rsidTr="00BB08EC">
        <w:trPr>
          <w:trHeight w:val="300"/>
        </w:trPr>
        <w:tc>
          <w:tcPr>
            <w:tcW w:w="2992" w:type="dxa"/>
            <w:shd w:val="clear" w:color="auto" w:fill="auto"/>
            <w:noWrap/>
            <w:vAlign w:val="bottom"/>
            <w:hideMark/>
          </w:tcPr>
          <w:p w14:paraId="22868271" w14:textId="77777777" w:rsidR="00B86960" w:rsidRPr="00044294" w:rsidRDefault="00B86960" w:rsidP="00BB08EC">
            <w:pPr>
              <w:spacing w:after="0" w:line="480" w:lineRule="auto"/>
              <w:rPr>
                <w:rFonts w:ascii="Arial" w:hAnsi="Arial" w:cs="Arial"/>
                <w:i/>
                <w:color w:val="000000"/>
                <w:sz w:val="20"/>
                <w:szCs w:val="20"/>
              </w:rPr>
            </w:pPr>
            <w:r w:rsidRPr="00044294">
              <w:rPr>
                <w:rFonts w:ascii="Arial" w:hAnsi="Arial" w:cs="Arial"/>
                <w:i/>
                <w:color w:val="000000"/>
                <w:sz w:val="20"/>
                <w:szCs w:val="20"/>
              </w:rPr>
              <w:t>% based on denominator</w:t>
            </w:r>
          </w:p>
        </w:tc>
        <w:tc>
          <w:tcPr>
            <w:tcW w:w="1281" w:type="dxa"/>
            <w:shd w:val="clear" w:color="auto" w:fill="auto"/>
            <w:noWrap/>
            <w:vAlign w:val="bottom"/>
            <w:hideMark/>
          </w:tcPr>
          <w:p w14:paraId="1D46F6C1"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15.8</w:t>
            </w:r>
          </w:p>
        </w:tc>
        <w:tc>
          <w:tcPr>
            <w:tcW w:w="1282" w:type="dxa"/>
            <w:shd w:val="clear" w:color="auto" w:fill="auto"/>
            <w:noWrap/>
            <w:vAlign w:val="bottom"/>
            <w:hideMark/>
          </w:tcPr>
          <w:p w14:paraId="46750B73"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7.1</w:t>
            </w:r>
          </w:p>
        </w:tc>
        <w:tc>
          <w:tcPr>
            <w:tcW w:w="1281" w:type="dxa"/>
            <w:shd w:val="clear" w:color="auto" w:fill="auto"/>
            <w:noWrap/>
            <w:vAlign w:val="bottom"/>
            <w:hideMark/>
          </w:tcPr>
          <w:p w14:paraId="1345239B"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8.</w:t>
            </w:r>
            <w:r>
              <w:rPr>
                <w:rFonts w:ascii="Arial" w:hAnsi="Arial" w:cs="Arial"/>
                <w:i/>
                <w:color w:val="000000"/>
                <w:sz w:val="20"/>
                <w:szCs w:val="20"/>
              </w:rPr>
              <w:t>4</w:t>
            </w:r>
          </w:p>
        </w:tc>
        <w:tc>
          <w:tcPr>
            <w:tcW w:w="1282" w:type="dxa"/>
            <w:shd w:val="clear" w:color="auto" w:fill="auto"/>
            <w:noWrap/>
            <w:vAlign w:val="bottom"/>
            <w:hideMark/>
          </w:tcPr>
          <w:p w14:paraId="5E73A934"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20.3</w:t>
            </w:r>
          </w:p>
        </w:tc>
        <w:tc>
          <w:tcPr>
            <w:tcW w:w="1282" w:type="dxa"/>
            <w:shd w:val="clear" w:color="auto" w:fill="auto"/>
            <w:noWrap/>
            <w:vAlign w:val="bottom"/>
            <w:hideMark/>
          </w:tcPr>
          <w:p w14:paraId="162F1D10"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20.</w:t>
            </w:r>
            <w:r>
              <w:rPr>
                <w:rFonts w:ascii="Arial" w:hAnsi="Arial" w:cs="Arial"/>
                <w:i/>
                <w:color w:val="000000"/>
                <w:sz w:val="20"/>
                <w:szCs w:val="20"/>
              </w:rPr>
              <w:t>0</w:t>
            </w:r>
          </w:p>
        </w:tc>
      </w:tr>
      <w:tr w:rsidR="00B86960" w:rsidRPr="008C3ABF" w14:paraId="26784E5F" w14:textId="77777777" w:rsidTr="00BB08EC">
        <w:trPr>
          <w:trHeight w:val="300"/>
        </w:trPr>
        <w:tc>
          <w:tcPr>
            <w:tcW w:w="2992" w:type="dxa"/>
            <w:shd w:val="clear" w:color="auto" w:fill="auto"/>
            <w:noWrap/>
            <w:vAlign w:val="bottom"/>
            <w:hideMark/>
          </w:tcPr>
          <w:p w14:paraId="076DF77E" w14:textId="77777777" w:rsidR="00B86960" w:rsidRPr="00044294" w:rsidRDefault="00B86960" w:rsidP="00BB08EC">
            <w:pPr>
              <w:spacing w:after="0" w:line="480" w:lineRule="auto"/>
              <w:rPr>
                <w:rFonts w:ascii="Arial" w:hAnsi="Arial" w:cs="Arial"/>
                <w:b/>
                <w:color w:val="000000"/>
                <w:sz w:val="20"/>
                <w:szCs w:val="20"/>
                <w:vertAlign w:val="superscript"/>
              </w:rPr>
            </w:pPr>
            <w:r w:rsidRPr="00044294">
              <w:rPr>
                <w:rFonts w:ascii="Arial" w:hAnsi="Arial" w:cs="Arial"/>
                <w:b/>
                <w:color w:val="000000"/>
                <w:sz w:val="20"/>
                <w:szCs w:val="20"/>
              </w:rPr>
              <w:t>… … … and with EOS ≥150 cells/µ</w:t>
            </w:r>
            <w:proofErr w:type="spellStart"/>
            <w:r w:rsidRPr="00044294">
              <w:rPr>
                <w:rFonts w:ascii="Arial" w:hAnsi="Arial" w:cs="Arial"/>
                <w:b/>
                <w:color w:val="000000"/>
                <w:sz w:val="20"/>
                <w:szCs w:val="20"/>
              </w:rPr>
              <w:t>l</w:t>
            </w:r>
            <w:r w:rsidRPr="00044294">
              <w:rPr>
                <w:rFonts w:ascii="Arial" w:hAnsi="Arial" w:cs="Arial"/>
                <w:b/>
                <w:color w:val="000000"/>
                <w:sz w:val="20"/>
                <w:szCs w:val="20"/>
                <w:vertAlign w:val="superscript"/>
              </w:rPr>
              <w:t>b</w:t>
            </w:r>
            <w:proofErr w:type="spellEnd"/>
            <w:r w:rsidRPr="00044294">
              <w:rPr>
                <w:rFonts w:ascii="Arial" w:hAnsi="Arial" w:cs="Arial"/>
                <w:b/>
                <w:bCs/>
                <w:color w:val="000000"/>
                <w:sz w:val="20"/>
                <w:szCs w:val="20"/>
                <w:vertAlign w:val="superscript"/>
              </w:rPr>
              <w:t xml:space="preserve"> </w:t>
            </w:r>
            <w:r w:rsidRPr="00044294">
              <w:rPr>
                <w:rFonts w:ascii="Arial" w:hAnsi="Arial" w:cs="Arial"/>
                <w:b/>
                <w:bCs/>
                <w:color w:val="000000"/>
                <w:sz w:val="20"/>
                <w:szCs w:val="20"/>
              </w:rPr>
              <w:t>(%)</w:t>
            </w:r>
          </w:p>
        </w:tc>
        <w:tc>
          <w:tcPr>
            <w:tcW w:w="1281" w:type="dxa"/>
            <w:shd w:val="clear" w:color="auto" w:fill="auto"/>
            <w:noWrap/>
            <w:vAlign w:val="bottom"/>
            <w:hideMark/>
          </w:tcPr>
          <w:p w14:paraId="20BC5892"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90.9</w:t>
            </w:r>
          </w:p>
        </w:tc>
        <w:tc>
          <w:tcPr>
            <w:tcW w:w="1282" w:type="dxa"/>
            <w:shd w:val="clear" w:color="auto" w:fill="auto"/>
            <w:noWrap/>
            <w:vAlign w:val="bottom"/>
            <w:hideMark/>
          </w:tcPr>
          <w:p w14:paraId="749E8A90"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97.1</w:t>
            </w:r>
          </w:p>
        </w:tc>
        <w:tc>
          <w:tcPr>
            <w:tcW w:w="1281" w:type="dxa"/>
            <w:shd w:val="clear" w:color="auto" w:fill="auto"/>
            <w:noWrap/>
            <w:vAlign w:val="bottom"/>
            <w:hideMark/>
          </w:tcPr>
          <w:p w14:paraId="0136B8FE"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100.0</w:t>
            </w:r>
          </w:p>
        </w:tc>
        <w:tc>
          <w:tcPr>
            <w:tcW w:w="1282" w:type="dxa"/>
            <w:shd w:val="clear" w:color="auto" w:fill="auto"/>
            <w:noWrap/>
            <w:vAlign w:val="bottom"/>
            <w:hideMark/>
          </w:tcPr>
          <w:p w14:paraId="2B63935C"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70.9</w:t>
            </w:r>
          </w:p>
        </w:tc>
        <w:tc>
          <w:tcPr>
            <w:tcW w:w="1282" w:type="dxa"/>
            <w:shd w:val="clear" w:color="auto" w:fill="auto"/>
            <w:noWrap/>
            <w:vAlign w:val="bottom"/>
            <w:hideMark/>
          </w:tcPr>
          <w:p w14:paraId="2618F4E9"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72.1</w:t>
            </w:r>
          </w:p>
        </w:tc>
      </w:tr>
      <w:tr w:rsidR="00B86960" w:rsidRPr="008C3ABF" w14:paraId="5F295EEE" w14:textId="77777777" w:rsidTr="00BB08EC">
        <w:trPr>
          <w:trHeight w:val="300"/>
        </w:trPr>
        <w:tc>
          <w:tcPr>
            <w:tcW w:w="2992" w:type="dxa"/>
            <w:shd w:val="clear" w:color="auto" w:fill="auto"/>
            <w:noWrap/>
            <w:vAlign w:val="bottom"/>
            <w:hideMark/>
          </w:tcPr>
          <w:p w14:paraId="70636BC9" w14:textId="77777777" w:rsidR="00B86960" w:rsidRPr="00044294" w:rsidRDefault="00B86960" w:rsidP="00BB08EC">
            <w:pPr>
              <w:spacing w:after="0" w:line="480" w:lineRule="auto"/>
              <w:rPr>
                <w:rFonts w:ascii="Arial" w:hAnsi="Arial" w:cs="Arial"/>
                <w:i/>
                <w:color w:val="000000"/>
                <w:sz w:val="20"/>
                <w:szCs w:val="20"/>
              </w:rPr>
            </w:pPr>
            <w:r w:rsidRPr="00044294">
              <w:rPr>
                <w:rFonts w:ascii="Arial" w:hAnsi="Arial" w:cs="Arial"/>
                <w:i/>
                <w:color w:val="000000"/>
                <w:sz w:val="20"/>
                <w:szCs w:val="20"/>
              </w:rPr>
              <w:t>% based on denominator</w:t>
            </w:r>
          </w:p>
        </w:tc>
        <w:tc>
          <w:tcPr>
            <w:tcW w:w="1281" w:type="dxa"/>
            <w:shd w:val="clear" w:color="auto" w:fill="auto"/>
            <w:noWrap/>
            <w:vAlign w:val="bottom"/>
            <w:hideMark/>
          </w:tcPr>
          <w:p w14:paraId="312AFB57"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14.3</w:t>
            </w:r>
          </w:p>
        </w:tc>
        <w:tc>
          <w:tcPr>
            <w:tcW w:w="1282" w:type="dxa"/>
            <w:shd w:val="clear" w:color="auto" w:fill="auto"/>
            <w:noWrap/>
            <w:vAlign w:val="bottom"/>
            <w:hideMark/>
          </w:tcPr>
          <w:p w14:paraId="58F8F778"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6.9</w:t>
            </w:r>
          </w:p>
        </w:tc>
        <w:tc>
          <w:tcPr>
            <w:tcW w:w="1281" w:type="dxa"/>
            <w:shd w:val="clear" w:color="auto" w:fill="auto"/>
            <w:noWrap/>
            <w:vAlign w:val="bottom"/>
            <w:hideMark/>
          </w:tcPr>
          <w:p w14:paraId="623A9FA4"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8.</w:t>
            </w:r>
            <w:r>
              <w:rPr>
                <w:rFonts w:ascii="Arial" w:hAnsi="Arial" w:cs="Arial"/>
                <w:i/>
                <w:color w:val="000000"/>
                <w:sz w:val="20"/>
                <w:szCs w:val="20"/>
              </w:rPr>
              <w:t>4</w:t>
            </w:r>
          </w:p>
        </w:tc>
        <w:tc>
          <w:tcPr>
            <w:tcW w:w="1282" w:type="dxa"/>
            <w:shd w:val="clear" w:color="auto" w:fill="auto"/>
            <w:noWrap/>
            <w:vAlign w:val="bottom"/>
            <w:hideMark/>
          </w:tcPr>
          <w:p w14:paraId="7E0B49BD"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14.4</w:t>
            </w:r>
          </w:p>
        </w:tc>
        <w:tc>
          <w:tcPr>
            <w:tcW w:w="1282" w:type="dxa"/>
            <w:shd w:val="clear" w:color="auto" w:fill="auto"/>
            <w:noWrap/>
            <w:vAlign w:val="bottom"/>
            <w:hideMark/>
          </w:tcPr>
          <w:p w14:paraId="1218DED5"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14.</w:t>
            </w:r>
            <w:r>
              <w:rPr>
                <w:rFonts w:ascii="Arial" w:hAnsi="Arial" w:cs="Arial"/>
                <w:i/>
                <w:color w:val="000000"/>
                <w:sz w:val="20"/>
                <w:szCs w:val="20"/>
              </w:rPr>
              <w:t>4</w:t>
            </w:r>
          </w:p>
        </w:tc>
      </w:tr>
      <w:tr w:rsidR="00B86960" w:rsidRPr="008C3ABF" w14:paraId="5CAAC35F" w14:textId="77777777" w:rsidTr="00BB08EC">
        <w:trPr>
          <w:trHeight w:val="547"/>
        </w:trPr>
        <w:tc>
          <w:tcPr>
            <w:tcW w:w="2992" w:type="dxa"/>
            <w:shd w:val="clear" w:color="auto" w:fill="auto"/>
            <w:noWrap/>
            <w:vAlign w:val="bottom"/>
            <w:hideMark/>
          </w:tcPr>
          <w:p w14:paraId="512BAA39" w14:textId="77777777" w:rsidR="00B86960" w:rsidRPr="00044294" w:rsidRDefault="00B86960" w:rsidP="00BB08EC">
            <w:pPr>
              <w:spacing w:after="0" w:line="480" w:lineRule="auto"/>
              <w:rPr>
                <w:rFonts w:ascii="Arial" w:hAnsi="Arial" w:cs="Arial"/>
                <w:b/>
                <w:color w:val="000000"/>
                <w:sz w:val="20"/>
                <w:szCs w:val="20"/>
                <w:vertAlign w:val="superscript"/>
              </w:rPr>
            </w:pPr>
            <w:r w:rsidRPr="00044294">
              <w:rPr>
                <w:rFonts w:ascii="Arial" w:hAnsi="Arial" w:cs="Arial"/>
                <w:b/>
                <w:color w:val="000000"/>
                <w:sz w:val="20"/>
                <w:szCs w:val="20"/>
              </w:rPr>
              <w:t>… … … and with EOS ≥300 cells/µ</w:t>
            </w:r>
            <w:proofErr w:type="spellStart"/>
            <w:r w:rsidRPr="00044294">
              <w:rPr>
                <w:rFonts w:ascii="Arial" w:hAnsi="Arial" w:cs="Arial"/>
                <w:b/>
                <w:color w:val="000000"/>
                <w:sz w:val="20"/>
                <w:szCs w:val="20"/>
              </w:rPr>
              <w:t>l</w:t>
            </w:r>
            <w:r w:rsidRPr="00044294">
              <w:rPr>
                <w:rFonts w:ascii="Arial" w:hAnsi="Arial" w:cs="Arial"/>
                <w:b/>
                <w:color w:val="000000"/>
                <w:sz w:val="20"/>
                <w:szCs w:val="20"/>
                <w:vertAlign w:val="superscript"/>
              </w:rPr>
              <w:t>b</w:t>
            </w:r>
            <w:proofErr w:type="spellEnd"/>
            <w:r w:rsidRPr="00044294">
              <w:rPr>
                <w:rFonts w:ascii="Arial" w:hAnsi="Arial" w:cs="Arial"/>
                <w:b/>
                <w:bCs/>
                <w:color w:val="000000"/>
                <w:sz w:val="20"/>
                <w:szCs w:val="20"/>
                <w:vertAlign w:val="superscript"/>
              </w:rPr>
              <w:t xml:space="preserve"> </w:t>
            </w:r>
            <w:r w:rsidRPr="00044294">
              <w:rPr>
                <w:rFonts w:ascii="Arial" w:hAnsi="Arial" w:cs="Arial"/>
                <w:b/>
                <w:bCs/>
                <w:color w:val="000000"/>
                <w:sz w:val="20"/>
                <w:szCs w:val="20"/>
              </w:rPr>
              <w:t>(%)</w:t>
            </w:r>
          </w:p>
        </w:tc>
        <w:tc>
          <w:tcPr>
            <w:tcW w:w="1281" w:type="dxa"/>
            <w:shd w:val="clear" w:color="auto" w:fill="auto"/>
            <w:noWrap/>
            <w:vAlign w:val="bottom"/>
            <w:hideMark/>
          </w:tcPr>
          <w:p w14:paraId="132E3DC7"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51.0</w:t>
            </w:r>
          </w:p>
        </w:tc>
        <w:tc>
          <w:tcPr>
            <w:tcW w:w="1282" w:type="dxa"/>
            <w:shd w:val="clear" w:color="auto" w:fill="auto"/>
            <w:noWrap/>
            <w:vAlign w:val="bottom"/>
          </w:tcPr>
          <w:p w14:paraId="7004B270" w14:textId="77777777" w:rsidR="00B86960" w:rsidRPr="00044294" w:rsidRDefault="00B86960" w:rsidP="00BB08EC">
            <w:pPr>
              <w:spacing w:after="0" w:line="480" w:lineRule="auto"/>
              <w:jc w:val="center"/>
              <w:rPr>
                <w:rFonts w:ascii="Arial" w:hAnsi="Arial" w:cs="Arial"/>
                <w:color w:val="000000"/>
                <w:sz w:val="20"/>
                <w:szCs w:val="20"/>
                <w:vertAlign w:val="superscript"/>
              </w:rPr>
            </w:pPr>
            <w:r w:rsidRPr="00044294">
              <w:rPr>
                <w:rFonts w:ascii="Arial" w:hAnsi="Arial" w:cs="Arial"/>
                <w:color w:val="000000"/>
                <w:sz w:val="20"/>
                <w:szCs w:val="20"/>
              </w:rPr>
              <w:t>25.3</w:t>
            </w:r>
            <w:r w:rsidRPr="00044294">
              <w:rPr>
                <w:rFonts w:ascii="Arial" w:hAnsi="Arial" w:cs="Arial"/>
                <w:color w:val="000000"/>
                <w:sz w:val="20"/>
                <w:szCs w:val="20"/>
                <w:vertAlign w:val="superscript"/>
              </w:rPr>
              <w:t>c</w:t>
            </w:r>
          </w:p>
        </w:tc>
        <w:tc>
          <w:tcPr>
            <w:tcW w:w="1281" w:type="dxa"/>
            <w:shd w:val="clear" w:color="auto" w:fill="auto"/>
            <w:noWrap/>
            <w:vAlign w:val="bottom"/>
          </w:tcPr>
          <w:p w14:paraId="7F3E66E6" w14:textId="77777777" w:rsidR="00B86960" w:rsidRPr="00044294" w:rsidRDefault="00B86960" w:rsidP="00BB08EC">
            <w:pPr>
              <w:spacing w:after="0" w:line="480" w:lineRule="auto"/>
              <w:jc w:val="center"/>
              <w:rPr>
                <w:rFonts w:ascii="Arial" w:hAnsi="Arial" w:cs="Arial"/>
                <w:color w:val="000000"/>
                <w:sz w:val="20"/>
                <w:szCs w:val="20"/>
              </w:rPr>
            </w:pPr>
            <w:r>
              <w:rPr>
                <w:rFonts w:ascii="Arial" w:hAnsi="Arial" w:cs="Arial"/>
                <w:sz w:val="20"/>
                <w:szCs w:val="20"/>
              </w:rPr>
              <w:t>37</w:t>
            </w:r>
            <w:r w:rsidRPr="00044294">
              <w:rPr>
                <w:rFonts w:ascii="Arial" w:hAnsi="Arial" w:cs="Arial"/>
                <w:sz w:val="20"/>
                <w:szCs w:val="20"/>
              </w:rPr>
              <w:t>.</w:t>
            </w:r>
            <w:r>
              <w:rPr>
                <w:rFonts w:ascii="Arial" w:hAnsi="Arial" w:cs="Arial"/>
                <w:sz w:val="20"/>
                <w:szCs w:val="20"/>
              </w:rPr>
              <w:t>5</w:t>
            </w:r>
            <w:r w:rsidRPr="00044294">
              <w:rPr>
                <w:rFonts w:ascii="Arial" w:hAnsi="Arial" w:cs="Arial"/>
                <w:color w:val="000000"/>
                <w:sz w:val="20"/>
                <w:szCs w:val="20"/>
                <w:vertAlign w:val="superscript"/>
              </w:rPr>
              <w:t>c</w:t>
            </w:r>
          </w:p>
        </w:tc>
        <w:tc>
          <w:tcPr>
            <w:tcW w:w="1282" w:type="dxa"/>
            <w:shd w:val="clear" w:color="auto" w:fill="auto"/>
            <w:noWrap/>
            <w:vAlign w:val="bottom"/>
            <w:hideMark/>
          </w:tcPr>
          <w:p w14:paraId="17FE7B45"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57.5</w:t>
            </w:r>
          </w:p>
        </w:tc>
        <w:tc>
          <w:tcPr>
            <w:tcW w:w="1282" w:type="dxa"/>
            <w:shd w:val="clear" w:color="auto" w:fill="auto"/>
            <w:noWrap/>
            <w:vAlign w:val="bottom"/>
            <w:hideMark/>
          </w:tcPr>
          <w:p w14:paraId="18CBC755" w14:textId="77777777" w:rsidR="00B86960" w:rsidRPr="00044294" w:rsidRDefault="00B86960" w:rsidP="00BB08EC">
            <w:pPr>
              <w:spacing w:after="0" w:line="480" w:lineRule="auto"/>
              <w:jc w:val="center"/>
              <w:rPr>
                <w:rFonts w:ascii="Arial" w:hAnsi="Arial" w:cs="Arial"/>
                <w:color w:val="000000"/>
                <w:sz w:val="20"/>
                <w:szCs w:val="20"/>
              </w:rPr>
            </w:pPr>
            <w:r w:rsidRPr="00044294">
              <w:rPr>
                <w:rFonts w:ascii="Arial" w:hAnsi="Arial" w:cs="Arial"/>
                <w:color w:val="000000"/>
                <w:sz w:val="20"/>
                <w:szCs w:val="20"/>
              </w:rPr>
              <w:t>37.1</w:t>
            </w:r>
          </w:p>
        </w:tc>
      </w:tr>
      <w:tr w:rsidR="00B86960" w:rsidRPr="008C3ABF" w14:paraId="43CFE7A5" w14:textId="77777777" w:rsidTr="00BB08EC">
        <w:trPr>
          <w:trHeight w:val="300"/>
        </w:trPr>
        <w:tc>
          <w:tcPr>
            <w:tcW w:w="2992" w:type="dxa"/>
            <w:shd w:val="clear" w:color="auto" w:fill="auto"/>
            <w:noWrap/>
            <w:vAlign w:val="bottom"/>
            <w:hideMark/>
          </w:tcPr>
          <w:p w14:paraId="1E15F5E5" w14:textId="77777777" w:rsidR="00B86960" w:rsidRPr="00044294" w:rsidRDefault="00B86960" w:rsidP="00BB08EC">
            <w:pPr>
              <w:spacing w:after="0" w:line="480" w:lineRule="auto"/>
              <w:rPr>
                <w:rFonts w:ascii="Arial" w:hAnsi="Arial" w:cs="Arial"/>
                <w:i/>
                <w:color w:val="000000"/>
                <w:sz w:val="20"/>
                <w:szCs w:val="20"/>
              </w:rPr>
            </w:pPr>
            <w:r w:rsidRPr="00044294">
              <w:rPr>
                <w:rFonts w:ascii="Arial" w:hAnsi="Arial" w:cs="Arial"/>
                <w:i/>
                <w:color w:val="000000"/>
                <w:sz w:val="20"/>
                <w:szCs w:val="20"/>
              </w:rPr>
              <w:t>% based on denominator</w:t>
            </w:r>
          </w:p>
        </w:tc>
        <w:tc>
          <w:tcPr>
            <w:tcW w:w="1281" w:type="dxa"/>
            <w:shd w:val="clear" w:color="auto" w:fill="auto"/>
            <w:noWrap/>
            <w:vAlign w:val="bottom"/>
            <w:hideMark/>
          </w:tcPr>
          <w:p w14:paraId="4B8718A0"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8.0</w:t>
            </w:r>
          </w:p>
        </w:tc>
        <w:tc>
          <w:tcPr>
            <w:tcW w:w="1282" w:type="dxa"/>
            <w:shd w:val="clear" w:color="auto" w:fill="auto"/>
            <w:noWrap/>
            <w:vAlign w:val="bottom"/>
          </w:tcPr>
          <w:p w14:paraId="18C88214" w14:textId="77777777" w:rsidR="00B86960" w:rsidRPr="00044294" w:rsidRDefault="00B86960" w:rsidP="00BB08EC">
            <w:pPr>
              <w:spacing w:after="0" w:line="480" w:lineRule="auto"/>
              <w:jc w:val="center"/>
              <w:rPr>
                <w:rFonts w:ascii="Arial" w:hAnsi="Arial" w:cs="Arial"/>
                <w:i/>
                <w:color w:val="000000"/>
                <w:sz w:val="20"/>
                <w:szCs w:val="20"/>
                <w:vertAlign w:val="superscript"/>
              </w:rPr>
            </w:pPr>
            <w:r w:rsidRPr="00044294">
              <w:rPr>
                <w:rFonts w:ascii="Arial" w:hAnsi="Arial" w:cs="Arial"/>
                <w:i/>
                <w:color w:val="000000"/>
                <w:sz w:val="20"/>
                <w:szCs w:val="20"/>
              </w:rPr>
              <w:t>1.8</w:t>
            </w:r>
            <w:r w:rsidRPr="00044294">
              <w:rPr>
                <w:rFonts w:ascii="Arial" w:hAnsi="Arial" w:cs="Arial"/>
                <w:i/>
                <w:color w:val="000000"/>
                <w:sz w:val="20"/>
                <w:szCs w:val="20"/>
                <w:vertAlign w:val="superscript"/>
              </w:rPr>
              <w:t>c</w:t>
            </w:r>
          </w:p>
        </w:tc>
        <w:tc>
          <w:tcPr>
            <w:tcW w:w="1281" w:type="dxa"/>
            <w:shd w:val="clear" w:color="auto" w:fill="auto"/>
            <w:noWrap/>
            <w:vAlign w:val="bottom"/>
          </w:tcPr>
          <w:p w14:paraId="5F32E579" w14:textId="77777777" w:rsidR="00B86960" w:rsidRPr="00044294" w:rsidRDefault="00B86960" w:rsidP="00BB08EC">
            <w:pPr>
              <w:spacing w:after="0" w:line="480" w:lineRule="auto"/>
              <w:jc w:val="center"/>
              <w:rPr>
                <w:rFonts w:ascii="Arial" w:hAnsi="Arial" w:cs="Arial"/>
                <w:i/>
                <w:color w:val="000000"/>
                <w:sz w:val="20"/>
                <w:szCs w:val="20"/>
                <w:vertAlign w:val="superscript"/>
              </w:rPr>
            </w:pPr>
            <w:r>
              <w:rPr>
                <w:rFonts w:ascii="Arial" w:hAnsi="Arial" w:cs="Arial"/>
                <w:i/>
                <w:color w:val="000000"/>
                <w:sz w:val="20"/>
                <w:szCs w:val="20"/>
              </w:rPr>
              <w:t>3.1</w:t>
            </w:r>
            <w:r w:rsidRPr="00044294">
              <w:rPr>
                <w:rFonts w:ascii="Arial" w:hAnsi="Arial" w:cs="Arial"/>
                <w:i/>
                <w:color w:val="000000"/>
                <w:sz w:val="20"/>
                <w:szCs w:val="20"/>
                <w:vertAlign w:val="superscript"/>
              </w:rPr>
              <w:t>c</w:t>
            </w:r>
          </w:p>
        </w:tc>
        <w:tc>
          <w:tcPr>
            <w:tcW w:w="1282" w:type="dxa"/>
            <w:shd w:val="clear" w:color="auto" w:fill="auto"/>
            <w:noWrap/>
            <w:vAlign w:val="bottom"/>
            <w:hideMark/>
          </w:tcPr>
          <w:p w14:paraId="3E9A333E"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11.7</w:t>
            </w:r>
          </w:p>
        </w:tc>
        <w:tc>
          <w:tcPr>
            <w:tcW w:w="1282" w:type="dxa"/>
            <w:shd w:val="clear" w:color="auto" w:fill="auto"/>
            <w:noWrap/>
            <w:vAlign w:val="bottom"/>
            <w:hideMark/>
          </w:tcPr>
          <w:p w14:paraId="3CAC94A9" w14:textId="77777777" w:rsidR="00B86960" w:rsidRPr="00044294" w:rsidRDefault="00B86960" w:rsidP="00BB08EC">
            <w:pPr>
              <w:spacing w:after="0" w:line="480" w:lineRule="auto"/>
              <w:jc w:val="center"/>
              <w:rPr>
                <w:rFonts w:ascii="Arial" w:hAnsi="Arial" w:cs="Arial"/>
                <w:i/>
                <w:color w:val="000000"/>
                <w:sz w:val="20"/>
                <w:szCs w:val="20"/>
              </w:rPr>
            </w:pPr>
            <w:r w:rsidRPr="00044294">
              <w:rPr>
                <w:rFonts w:ascii="Arial" w:hAnsi="Arial" w:cs="Arial"/>
                <w:i/>
                <w:color w:val="000000"/>
                <w:sz w:val="20"/>
                <w:szCs w:val="20"/>
              </w:rPr>
              <w:t>7.</w:t>
            </w:r>
            <w:r>
              <w:rPr>
                <w:rFonts w:ascii="Arial" w:hAnsi="Arial" w:cs="Arial"/>
                <w:i/>
                <w:color w:val="000000"/>
                <w:sz w:val="20"/>
                <w:szCs w:val="20"/>
              </w:rPr>
              <w:t>4</w:t>
            </w:r>
          </w:p>
        </w:tc>
      </w:tr>
    </w:tbl>
    <w:p w14:paraId="19F66D06" w14:textId="77777777" w:rsidR="00B86960" w:rsidRDefault="00B86960" w:rsidP="00B86960">
      <w:pPr>
        <w:spacing w:line="480" w:lineRule="auto"/>
        <w:rPr>
          <w:rFonts w:ascii="Arial" w:hAnsi="Arial" w:cs="Arial"/>
          <w:sz w:val="20"/>
          <w:szCs w:val="20"/>
          <w:vertAlign w:val="superscript"/>
        </w:rPr>
      </w:pPr>
    </w:p>
    <w:p w14:paraId="1DC14EFB" w14:textId="77777777" w:rsidR="00B86960" w:rsidRDefault="00B86960" w:rsidP="00C272CB">
      <w:pPr>
        <w:spacing w:line="480" w:lineRule="auto"/>
      </w:pPr>
      <w:r w:rsidRPr="00044294">
        <w:rPr>
          <w:rFonts w:ascii="Arial" w:hAnsi="Arial" w:cs="Arial"/>
          <w:b/>
          <w:sz w:val="20"/>
          <w:szCs w:val="20"/>
        </w:rPr>
        <w:lastRenderedPageBreak/>
        <w:t>Notes</w:t>
      </w:r>
      <w:r>
        <w:rPr>
          <w:rFonts w:ascii="Arial" w:hAnsi="Arial" w:cs="Arial"/>
          <w:sz w:val="20"/>
          <w:szCs w:val="20"/>
        </w:rPr>
        <w:t xml:space="preserve">: </w:t>
      </w:r>
      <w:proofErr w:type="spellStart"/>
      <w:r w:rsidRPr="00044294">
        <w:rPr>
          <w:rFonts w:ascii="Arial" w:hAnsi="Arial" w:cs="Arial"/>
          <w:sz w:val="20"/>
          <w:szCs w:val="20"/>
          <w:vertAlign w:val="superscript"/>
        </w:rPr>
        <w:t>a</w:t>
      </w:r>
      <w:r w:rsidRPr="00044294">
        <w:rPr>
          <w:rFonts w:ascii="Arial" w:hAnsi="Arial" w:cs="Arial"/>
          <w:sz w:val="20"/>
          <w:szCs w:val="20"/>
        </w:rPr>
        <w:t>Weighted</w:t>
      </w:r>
      <w:proofErr w:type="spellEnd"/>
      <w:r w:rsidRPr="00044294">
        <w:rPr>
          <w:rFonts w:ascii="Arial" w:hAnsi="Arial" w:cs="Arial"/>
          <w:sz w:val="20"/>
          <w:szCs w:val="20"/>
        </w:rPr>
        <w:t xml:space="preserve"> percentages are based on the total number of patients. Weighted using an adjustment factor taking into account physician consultation rates, and consultation workload, physician specialty and country size; </w:t>
      </w:r>
      <w:proofErr w:type="spellStart"/>
      <w:r w:rsidRPr="00044294">
        <w:rPr>
          <w:rFonts w:ascii="Arial" w:hAnsi="Arial" w:cs="Arial"/>
          <w:sz w:val="20"/>
          <w:szCs w:val="20"/>
          <w:vertAlign w:val="superscript"/>
        </w:rPr>
        <w:t>b</w:t>
      </w:r>
      <w:r w:rsidRPr="00044294">
        <w:rPr>
          <w:rFonts w:ascii="Arial" w:hAnsi="Arial" w:cs="Arial"/>
          <w:sz w:val="20"/>
          <w:szCs w:val="20"/>
        </w:rPr>
        <w:t>Based</w:t>
      </w:r>
      <w:proofErr w:type="spellEnd"/>
      <w:r w:rsidRPr="00044294">
        <w:rPr>
          <w:rFonts w:ascii="Arial" w:hAnsi="Arial" w:cs="Arial"/>
          <w:sz w:val="20"/>
          <w:szCs w:val="20"/>
        </w:rPr>
        <w:t xml:space="preserve"> on the total with eosinophil count collected as part of routine clinical care; </w:t>
      </w:r>
      <w:proofErr w:type="spellStart"/>
      <w:r w:rsidRPr="00044294">
        <w:rPr>
          <w:rFonts w:ascii="Arial" w:hAnsi="Arial" w:cs="Arial"/>
          <w:sz w:val="20"/>
          <w:szCs w:val="20"/>
          <w:vertAlign w:val="superscript"/>
        </w:rPr>
        <w:t>c</w:t>
      </w:r>
      <w:r w:rsidRPr="00044294">
        <w:rPr>
          <w:rFonts w:ascii="Arial" w:hAnsi="Arial" w:cs="Arial"/>
          <w:sz w:val="20"/>
          <w:szCs w:val="20"/>
        </w:rPr>
        <w:t>For</w:t>
      </w:r>
      <w:proofErr w:type="spellEnd"/>
      <w:r w:rsidRPr="00044294">
        <w:rPr>
          <w:rFonts w:ascii="Arial" w:hAnsi="Arial" w:cs="Arial"/>
          <w:sz w:val="20"/>
          <w:szCs w:val="20"/>
        </w:rPr>
        <w:t xml:space="preserve"> some conditions, the proportion of patients was extremely small (n&lt;5) and should be interpreted with caution.</w:t>
      </w:r>
      <w:r w:rsidRPr="00044294">
        <w:rPr>
          <w:rFonts w:ascii="Arial" w:hAnsi="Arial" w:cs="Arial"/>
          <w:sz w:val="20"/>
          <w:szCs w:val="20"/>
        </w:rPr>
        <w:br/>
      </w:r>
      <w:r w:rsidRPr="00044294">
        <w:rPr>
          <w:rFonts w:ascii="Arial" w:hAnsi="Arial" w:cs="Arial"/>
          <w:b/>
          <w:sz w:val="20"/>
          <w:szCs w:val="20"/>
        </w:rPr>
        <w:t>Abbreviations</w:t>
      </w:r>
      <w:r>
        <w:rPr>
          <w:rFonts w:ascii="Arial" w:hAnsi="Arial" w:cs="Arial"/>
          <w:sz w:val="20"/>
          <w:szCs w:val="20"/>
        </w:rPr>
        <w:t xml:space="preserve">: </w:t>
      </w:r>
      <w:r w:rsidRPr="00044294">
        <w:rPr>
          <w:rFonts w:ascii="Arial" w:hAnsi="Arial" w:cs="Arial"/>
          <w:sz w:val="20"/>
          <w:szCs w:val="20"/>
        </w:rPr>
        <w:t>AECOPD, acute exacerbation of COPD; COPD, chronic obstructive pulmonary disease; EOS, blood eosinophil count.</w:t>
      </w:r>
      <w:r w:rsidRPr="00044294">
        <w:rPr>
          <w:rFonts w:ascii="Arial" w:hAnsi="Arial" w:cs="Arial"/>
        </w:rPr>
        <w:fldChar w:fldCharType="begin"/>
      </w:r>
      <w:r w:rsidRPr="00044294">
        <w:rPr>
          <w:rFonts w:ascii="Arial" w:hAnsi="Arial" w:cs="Arial"/>
        </w:rPr>
        <w:instrText xml:space="preserve"> ADDIN </w:instrText>
      </w:r>
      <w:r w:rsidRPr="00044294">
        <w:rPr>
          <w:rFonts w:ascii="Arial" w:hAnsi="Arial" w:cs="Arial"/>
        </w:rPr>
        <w:fldChar w:fldCharType="end"/>
      </w:r>
    </w:p>
    <w:p w14:paraId="1BFFB7D2" w14:textId="77777777" w:rsidR="00B86960" w:rsidRDefault="00B86960"/>
    <w:sectPr w:rsidR="00B86960" w:rsidSect="00C272CB">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71000"/>
    <w:multiLevelType w:val="hybridMultilevel"/>
    <w:tmpl w:val="7D28C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60"/>
    <w:rsid w:val="00334AA7"/>
    <w:rsid w:val="003C307A"/>
    <w:rsid w:val="00466B1D"/>
    <w:rsid w:val="006B4043"/>
    <w:rsid w:val="00701FFD"/>
    <w:rsid w:val="00A53E3C"/>
    <w:rsid w:val="00B55603"/>
    <w:rsid w:val="00B86960"/>
    <w:rsid w:val="00C272CB"/>
    <w:rsid w:val="00DD1595"/>
    <w:rsid w:val="00E74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821E"/>
  <w15:chartTrackingRefBased/>
  <w15:docId w15:val="{27642AA3-70BB-4BCC-A847-97C8860D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60"/>
    <w:pPr>
      <w:spacing w:after="220" w:line="360" w:lineRule="auto"/>
    </w:pPr>
    <w:rPr>
      <w:rFonts w:ascii="Calibri" w:eastAsia="Times New Roman" w:hAnsi="Calibri" w:cs="Calibri"/>
      <w:szCs w:val="24"/>
      <w:lang w:val="en-US" w:eastAsia="en-GB"/>
    </w:rPr>
  </w:style>
  <w:style w:type="paragraph" w:styleId="Heading3">
    <w:name w:val="heading 3"/>
    <w:basedOn w:val="Normal"/>
    <w:next w:val="BodyText"/>
    <w:link w:val="Heading3Char"/>
    <w:qFormat/>
    <w:rsid w:val="00B86960"/>
    <w:pPr>
      <w:keepNext/>
      <w:spacing w:after="120"/>
      <w:outlineLvl w:val="2"/>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6960"/>
    <w:rPr>
      <w:rFonts w:ascii="Calibri" w:eastAsia="Times New Roman" w:hAnsi="Calibri" w:cs="Calibri"/>
      <w:bCs/>
      <w:i/>
      <w:szCs w:val="24"/>
      <w:lang w:val="en-US" w:eastAsia="en-GB"/>
    </w:rPr>
  </w:style>
  <w:style w:type="paragraph" w:styleId="ListParagraph">
    <w:name w:val="List Paragraph"/>
    <w:basedOn w:val="Normal"/>
    <w:link w:val="ListParagraphChar"/>
    <w:uiPriority w:val="34"/>
    <w:qFormat/>
    <w:rsid w:val="00B86960"/>
    <w:pPr>
      <w:spacing w:after="0" w:line="240" w:lineRule="auto"/>
      <w:ind w:left="720"/>
    </w:pPr>
    <w:rPr>
      <w:rFonts w:eastAsia="Calibri" w:cs="Times New Roman"/>
      <w:szCs w:val="22"/>
    </w:rPr>
  </w:style>
  <w:style w:type="character" w:customStyle="1" w:styleId="ListParagraphChar">
    <w:name w:val="List Paragraph Char"/>
    <w:link w:val="ListParagraph"/>
    <w:uiPriority w:val="34"/>
    <w:rsid w:val="00B86960"/>
    <w:rPr>
      <w:rFonts w:ascii="Calibri" w:eastAsia="Calibri" w:hAnsi="Calibri" w:cs="Times New Roman"/>
      <w:lang w:val="en-US" w:eastAsia="en-GB"/>
    </w:rPr>
  </w:style>
  <w:style w:type="paragraph" w:styleId="BodyText">
    <w:name w:val="Body Text"/>
    <w:basedOn w:val="Normal"/>
    <w:link w:val="BodyTextChar"/>
    <w:uiPriority w:val="99"/>
    <w:semiHidden/>
    <w:unhideWhenUsed/>
    <w:rsid w:val="00B86960"/>
    <w:pPr>
      <w:spacing w:after="120"/>
    </w:pPr>
  </w:style>
  <w:style w:type="character" w:customStyle="1" w:styleId="BodyTextChar">
    <w:name w:val="Body Text Char"/>
    <w:basedOn w:val="DefaultParagraphFont"/>
    <w:link w:val="BodyText"/>
    <w:uiPriority w:val="99"/>
    <w:semiHidden/>
    <w:rsid w:val="00B86960"/>
    <w:rPr>
      <w:rFonts w:ascii="Calibri" w:eastAsia="Times New Roman" w:hAnsi="Calibri" w:cs="Calibri"/>
      <w:szCs w:val="24"/>
      <w:lang w:val="en-US" w:eastAsia="en-GB"/>
    </w:rPr>
  </w:style>
  <w:style w:type="paragraph" w:styleId="BalloonText">
    <w:name w:val="Balloon Text"/>
    <w:basedOn w:val="Normal"/>
    <w:link w:val="BalloonTextChar"/>
    <w:uiPriority w:val="99"/>
    <w:semiHidden/>
    <w:unhideWhenUsed/>
    <w:rsid w:val="00B86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60"/>
    <w:rPr>
      <w:rFonts w:ascii="Segoe UI" w:eastAsia="Times New Roman" w:hAnsi="Segoe UI" w:cs="Segoe UI"/>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548</Words>
  <Characters>3130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Tribble</dc:creator>
  <cp:keywords/>
  <dc:description/>
  <cp:lastModifiedBy>Patel, Sonam Kajal</cp:lastModifiedBy>
  <cp:revision>2</cp:revision>
  <dcterms:created xsi:type="dcterms:W3CDTF">2019-11-04T18:47:00Z</dcterms:created>
  <dcterms:modified xsi:type="dcterms:W3CDTF">2019-11-04T18:47:00Z</dcterms:modified>
</cp:coreProperties>
</file>