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018" w:rsidRPr="0069605B" w:rsidRDefault="0069605B">
      <w:pPr>
        <w:rPr>
          <w:b/>
          <w:sz w:val="32"/>
          <w:szCs w:val="32"/>
        </w:rPr>
      </w:pPr>
      <w:r w:rsidRPr="0069605B">
        <w:rPr>
          <w:b/>
          <w:sz w:val="32"/>
          <w:szCs w:val="32"/>
        </w:rPr>
        <w:t>Supplementary materials</w:t>
      </w:r>
    </w:p>
    <w:p w:rsidR="0069605B" w:rsidRDefault="0069605B"/>
    <w:p w:rsidR="0069605B" w:rsidRPr="0069605B" w:rsidRDefault="0069605B" w:rsidP="0069605B">
      <w:r w:rsidRPr="00124CA4">
        <w:rPr>
          <w:rFonts w:ascii="Times New Roman" w:eastAsia="Malgun Gothic" w:hAnsi="Times New Roman" w:cs="Times New Roman"/>
          <w:bCs/>
          <w:noProof/>
          <w:sz w:val="24"/>
          <w:szCs w:val="24"/>
          <w:lang w:eastAsia="ko-KR"/>
        </w:rPr>
        <w:drawing>
          <wp:inline distT="0" distB="0" distL="0" distR="0" wp14:anchorId="6CF106BB" wp14:editId="759C2752">
            <wp:extent cx="3403694" cy="2880000"/>
            <wp:effectExtent l="0" t="0" r="6350" b="0"/>
            <wp:docPr id="28" name="Picture 28" descr="F:\Paper I_Immobilization\Figures\190329\N-Sub.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aper I_Immobilization\Figures\190329\N-Sub.3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Pr="00124CA4" w:rsidRDefault="0069605B" w:rsidP="0069605B">
      <w:pPr>
        <w:spacing w:line="480" w:lineRule="auto"/>
        <w:jc w:val="both"/>
        <w:rPr>
          <w:rFonts w:ascii="Times New Roman" w:eastAsia="Malgun Gothic" w:hAnsi="Times New Roman" w:cs="Times New Roman"/>
          <w:bCs/>
          <w:sz w:val="24"/>
          <w:szCs w:val="24"/>
          <w:lang w:eastAsia="ko-KR"/>
        </w:rPr>
      </w:pPr>
      <w:r w:rsidRPr="00124CA4">
        <w:rPr>
          <w:rFonts w:ascii="Times New Roman" w:hAnsi="Times New Roman" w:cs="Times New Roman"/>
          <w:bCs/>
          <w:sz w:val="24"/>
          <w:szCs w:val="24"/>
        </w:rPr>
        <w:t xml:space="preserve">Figure S1. </w:t>
      </w:r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>Definition of the neuron cell shape and neurite formation. Neuron cell body shape (I and II: round and elongated shape) and neurite formation (III and IV: two neurites and more than two neurites). Cell A and Cell B are non-extended cells and neurite-extended cells, respectively.</w:t>
      </w:r>
    </w:p>
    <w:p w:rsidR="0069605B" w:rsidRDefault="0069605B">
      <w:r w:rsidRPr="00124CA4">
        <w:rPr>
          <w:rFonts w:ascii="Times New Roman" w:eastAsia="Malgun Gothic" w:hAnsi="Times New Roman" w:cs="Times New Roman"/>
          <w:b/>
          <w:bCs/>
          <w:noProof/>
          <w:sz w:val="24"/>
          <w:szCs w:val="24"/>
          <w:lang w:eastAsia="ko-KR"/>
        </w:rPr>
        <w:drawing>
          <wp:inline distT="0" distB="0" distL="0" distR="0" wp14:anchorId="7D1580DB" wp14:editId="3CFD54AF">
            <wp:extent cx="3389268" cy="1800000"/>
            <wp:effectExtent l="0" t="0" r="1905" b="0"/>
            <wp:docPr id="9" name="Picture 9" descr="F:\Paper I_Immobilization\Figures\190329\N2-Sub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 I_Immobilization\Figures\190329\N2-Sub.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Pr="00124CA4" w:rsidRDefault="0069605B" w:rsidP="006960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CA4">
        <w:rPr>
          <w:rFonts w:ascii="Times New Roman" w:hAnsi="Times New Roman" w:cs="Times New Roman" w:hint="eastAsia"/>
          <w:sz w:val="24"/>
          <w:szCs w:val="24"/>
        </w:rPr>
        <w:t>F</w:t>
      </w:r>
      <w:r w:rsidRPr="00124CA4">
        <w:rPr>
          <w:rFonts w:ascii="Times New Roman" w:hAnsi="Times New Roman" w:cs="Times New Roman"/>
          <w:sz w:val="24"/>
          <w:szCs w:val="24"/>
        </w:rPr>
        <w:t>igure S2. Neurite formation on the patterned substrate. The outgrowing neurites can be formed crossing or not crossing the patterned step.</w:t>
      </w:r>
    </w:p>
    <w:p w:rsidR="0069605B" w:rsidRDefault="0069605B">
      <w:r w:rsidRPr="00124CA4">
        <w:rPr>
          <w:rFonts w:ascii="Times New Roman" w:eastAsia="Malgun Gothic" w:hAnsi="Times New Roman" w:cs="Times New Roman"/>
          <w:b/>
          <w:bCs/>
          <w:noProof/>
          <w:sz w:val="24"/>
          <w:szCs w:val="24"/>
          <w:lang w:eastAsia="ko-KR"/>
        </w:rPr>
        <w:lastRenderedPageBreak/>
        <w:drawing>
          <wp:inline distT="0" distB="0" distL="0" distR="0" wp14:anchorId="064BBAA0" wp14:editId="22434021">
            <wp:extent cx="5071351" cy="1800000"/>
            <wp:effectExtent l="0" t="0" r="0" b="0"/>
            <wp:docPr id="6" name="Picture 6" descr="F:\Paper I_Immobilization\Figures\190329\N-Sub.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 I_Immobilization\Figures\190329\N-Sub.2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Pr="00124CA4" w:rsidRDefault="0069605B" w:rsidP="006960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CA4">
        <w:rPr>
          <w:rFonts w:ascii="Times New Roman" w:hAnsi="Times New Roman" w:cs="Times New Roman" w:hint="eastAsia"/>
          <w:sz w:val="24"/>
          <w:szCs w:val="24"/>
        </w:rPr>
        <w:t>F</w:t>
      </w:r>
      <w:r w:rsidRPr="00124CA4">
        <w:rPr>
          <w:rFonts w:ascii="Times New Roman" w:hAnsi="Times New Roman" w:cs="Times New Roman"/>
          <w:sz w:val="24"/>
          <w:szCs w:val="24"/>
        </w:rPr>
        <w:t>igure S3. Measurement of neurite guidance. The direction of neurites is determined on the micropatterned substrate by the linear pattern of the photomask. Neurite angle with θ &lt; 15</w:t>
      </w:r>
      <w:r w:rsidRPr="00124CA4">
        <w:rPr>
          <w:rFonts w:ascii="Times New Roman" w:eastAsia="Malgun Gothic" w:hAnsi="Times New Roman" w:cs="Times New Roman"/>
          <w:sz w:val="24"/>
          <w:szCs w:val="24"/>
          <w:lang w:eastAsia="ko-KR"/>
        </w:rPr>
        <w:t>°</w:t>
      </w:r>
      <w:r w:rsidRPr="00124CA4">
        <w:rPr>
          <w:rFonts w:ascii="Times New Roman" w:hAnsi="Times New Roman" w:cs="Times New Roman"/>
          <w:sz w:val="24"/>
          <w:szCs w:val="24"/>
        </w:rPr>
        <w:t xml:space="preserve"> is categorized as an aligned neurite (neurite-guided cell) by a linear pattern.</w:t>
      </w:r>
    </w:p>
    <w:p w:rsidR="0069605B" w:rsidRDefault="0069605B">
      <w:r w:rsidRPr="00124CA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7CAC2EB" wp14:editId="48A49F5E">
            <wp:extent cx="4478404" cy="2520000"/>
            <wp:effectExtent l="0" t="0" r="0" b="0"/>
            <wp:docPr id="11" name="그림 11" descr="F:\Paper I_Immobilization\Figures\190228\Sub Figure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 I_Immobilization\Figures\190228\Sub Figure 1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Pr="00124CA4" w:rsidRDefault="0069605B" w:rsidP="006960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CA4">
        <w:rPr>
          <w:rFonts w:ascii="Times New Roman" w:hAnsi="Times New Roman" w:cs="Times New Roman"/>
          <w:bCs/>
          <w:sz w:val="24"/>
          <w:szCs w:val="24"/>
        </w:rPr>
        <w:t>Figure S4.</w:t>
      </w:r>
      <w:r w:rsidRPr="00124CA4">
        <w:rPr>
          <w:rFonts w:ascii="Times New Roman" w:hAnsi="Times New Roman" w:cs="Times New Roman"/>
          <w:sz w:val="24"/>
          <w:szCs w:val="24"/>
        </w:rPr>
        <w:t xml:space="preserve"> UV spectra before and after modification. </w:t>
      </w:r>
      <w:bookmarkStart w:id="0" w:name="_Hlk14252710"/>
      <w:r w:rsidRPr="00124CA4">
        <w:rPr>
          <w:rFonts w:ascii="Times New Roman" w:hAnsi="Times New Roman" w:cs="Times New Roman"/>
          <w:sz w:val="24"/>
          <w:szCs w:val="24"/>
        </w:rPr>
        <w:t xml:space="preserve">A </w:t>
      </w:r>
      <w:r w:rsidRPr="00124CA4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0.1 w/v% aqueous solution </w:t>
      </w:r>
      <w:r w:rsidRPr="00124CA4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124CA4">
        <w:rPr>
          <w:rFonts w:ascii="Times New Roman" w:hAnsi="Times New Roman" w:cs="Times New Roman"/>
          <w:sz w:val="24"/>
          <w:szCs w:val="24"/>
        </w:rPr>
        <w:t>gelatin</w:t>
      </w:r>
      <w:proofErr w:type="spellEnd"/>
      <w:r w:rsidRPr="00124CA4">
        <w:rPr>
          <w:rFonts w:ascii="Times New Roman" w:hAnsi="Times New Roman" w:cs="Times New Roman"/>
          <w:sz w:val="24"/>
          <w:szCs w:val="24"/>
        </w:rPr>
        <w:t xml:space="preserve"> (black solid line), 4-azidoaniline hydrochloride (black-dash line), and photoreactive </w:t>
      </w:r>
      <w:proofErr w:type="spellStart"/>
      <w:r w:rsidRPr="00124CA4">
        <w:rPr>
          <w:rFonts w:ascii="Times New Roman" w:hAnsi="Times New Roman" w:cs="Times New Roman"/>
          <w:sz w:val="24"/>
          <w:szCs w:val="24"/>
        </w:rPr>
        <w:t>gelatin</w:t>
      </w:r>
      <w:proofErr w:type="spellEnd"/>
      <w:r w:rsidRPr="00124CA4">
        <w:rPr>
          <w:rFonts w:ascii="Times New Roman" w:hAnsi="Times New Roman" w:cs="Times New Roman"/>
          <w:sz w:val="24"/>
          <w:szCs w:val="24"/>
        </w:rPr>
        <w:t xml:space="preserve"> (red-dashed line) in a 1-cm light path quartz cell at room temperature.</w:t>
      </w:r>
      <w:bookmarkEnd w:id="0"/>
    </w:p>
    <w:p w:rsidR="0069605B" w:rsidRDefault="0069605B">
      <w:r w:rsidRPr="00124CA4">
        <w:rPr>
          <w:rFonts w:ascii="Times New Roman" w:eastAsia="Malgun Gothic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38A19F9D" wp14:editId="2B750A7A">
            <wp:extent cx="5324455" cy="2520000"/>
            <wp:effectExtent l="0" t="0" r="0" b="0"/>
            <wp:docPr id="22" name="그림 14" descr="F:\Paper I_Immobilization of NGF\Figures\190329\N-Sub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 I_Immobilization of NGF\Figures\190329\N-Sub.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Default="0069605B"/>
    <w:p w:rsidR="0069605B" w:rsidRDefault="0069605B" w:rsidP="0069605B">
      <w:pPr>
        <w:spacing w:line="480" w:lineRule="auto"/>
        <w:jc w:val="both"/>
        <w:rPr>
          <w:rFonts w:ascii="Times New Roman" w:eastAsia="Malgun Gothic" w:hAnsi="Times New Roman" w:cs="Times New Roman"/>
          <w:bCs/>
          <w:sz w:val="24"/>
          <w:lang w:eastAsia="ko-KR"/>
        </w:rPr>
      </w:pPr>
      <w:r w:rsidRPr="00124CA4">
        <w:rPr>
          <w:rFonts w:ascii="Times New Roman" w:eastAsia="Malgun Gothic" w:hAnsi="Times New Roman" w:cs="Times New Roman"/>
          <w:bCs/>
          <w:sz w:val="24"/>
          <w:szCs w:val="24"/>
          <w:lang w:eastAsia="ko-KR"/>
        </w:rPr>
        <w:t>Figure S5. Comparison before and after immobilizing the surface at various concentrations of P-gel. The micropatterned regions were detected by UV treatment with a linear pattern photomask.</w:t>
      </w:r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 xml:space="preserve"> Shaded area and open area of the photomask were 200 </w:t>
      </w:r>
      <w:proofErr w:type="spellStart"/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>μm</w:t>
      </w:r>
      <w:proofErr w:type="spellEnd"/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 xml:space="preserve"> and 400 </w:t>
      </w:r>
      <w:proofErr w:type="spellStart"/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>μm</w:t>
      </w:r>
      <w:proofErr w:type="spellEnd"/>
      <w:r w:rsidRPr="00124CA4">
        <w:rPr>
          <w:rFonts w:ascii="Times New Roman" w:eastAsia="Malgun Gothic" w:hAnsi="Times New Roman" w:cs="Times New Roman"/>
          <w:bCs/>
          <w:sz w:val="24"/>
          <w:lang w:eastAsia="ko-KR"/>
        </w:rPr>
        <w:t>, respectively.</w:t>
      </w:r>
    </w:p>
    <w:p w:rsidR="0069605B" w:rsidRDefault="0069605B" w:rsidP="0069605B">
      <w:pPr>
        <w:spacing w:line="480" w:lineRule="auto"/>
        <w:jc w:val="both"/>
        <w:rPr>
          <w:rFonts w:ascii="Times New Roman" w:eastAsia="Malgun Gothic" w:hAnsi="Times New Roman" w:cs="Times New Roman"/>
          <w:bCs/>
          <w:sz w:val="24"/>
          <w:lang w:eastAsia="ko-KR"/>
        </w:rPr>
      </w:pPr>
    </w:p>
    <w:p w:rsidR="0069605B" w:rsidRDefault="0069605B" w:rsidP="0069605B">
      <w:pPr>
        <w:spacing w:line="480" w:lineRule="auto"/>
        <w:jc w:val="both"/>
        <w:rPr>
          <w:rFonts w:ascii="Times New Roman" w:eastAsia="Malgun Gothic" w:hAnsi="Times New Roman" w:cs="Times New Roman"/>
          <w:bCs/>
          <w:sz w:val="24"/>
          <w:lang w:eastAsia="ko-KR"/>
        </w:rPr>
      </w:pPr>
    </w:p>
    <w:p w:rsidR="0069605B" w:rsidRPr="00124CA4" w:rsidRDefault="0069605B" w:rsidP="0069605B">
      <w:pPr>
        <w:spacing w:line="48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bookmarkStart w:id="1" w:name="_GoBack"/>
      <w:bookmarkEnd w:id="1"/>
    </w:p>
    <w:p w:rsidR="0069605B" w:rsidRDefault="0069605B">
      <w:r w:rsidRPr="00124CA4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01FC121A" wp14:editId="3E4F14C3">
            <wp:extent cx="4792048" cy="3600000"/>
            <wp:effectExtent l="0" t="0" r="0" b="0"/>
            <wp:docPr id="19" name="그림 19" descr="F:\Paper I_Immobilization of NGF\Figures\190329\N3-Figure 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 I_Immobilization of NGF\Figures\190329\N3-Figure S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5B" w:rsidRPr="00124CA4" w:rsidRDefault="0069605B" w:rsidP="0069605B">
      <w:pPr>
        <w:spacing w:line="48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bookmarkStart w:id="2" w:name="_Hlk13925052"/>
      <w:r w:rsidRPr="00124CA4">
        <w:rPr>
          <w:rFonts w:ascii="Times New Roman" w:eastAsia="Malgun Gothic" w:hAnsi="Times New Roman" w:cs="Times New Roman"/>
          <w:sz w:val="24"/>
          <w:szCs w:val="24"/>
          <w:lang w:eastAsia="ko-KR"/>
        </w:rPr>
        <w:t>Figure S6. Measurement of immobilized NGF on the substrate by ELISA. Immobilization of (A) 1 ng, (B) 5 ng, (C) 20 ng, and (D) 50 ng NGF using various amounts of P-gel.</w:t>
      </w:r>
      <w:bookmarkEnd w:id="2"/>
      <w:r w:rsidRPr="00124CA4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Data are presented as the mean ± SD, </w:t>
      </w:r>
      <w:r w:rsidRPr="00124CA4">
        <w:rPr>
          <w:rFonts w:ascii="Times New Roman" w:eastAsia="Malgun Gothic" w:hAnsi="Times New Roman" w:cs="Times New Roman"/>
          <w:i/>
          <w:sz w:val="24"/>
          <w:szCs w:val="24"/>
          <w:lang w:eastAsia="ko-KR"/>
        </w:rPr>
        <w:t>n</w:t>
      </w:r>
      <w:r w:rsidRPr="00124CA4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= 3.</w:t>
      </w:r>
    </w:p>
    <w:p w:rsidR="0069605B" w:rsidRDefault="0069605B"/>
    <w:sectPr w:rsidR="006960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5B"/>
    <w:rsid w:val="0069605B"/>
    <w:rsid w:val="00D7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B9820"/>
  <w15:chartTrackingRefBased/>
  <w15:docId w15:val="{5CBA5F35-D334-4BBD-9E77-076BBCEB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 Lee</dc:creator>
  <cp:keywords/>
  <dc:description/>
  <cp:lastModifiedBy>Boon Lee</cp:lastModifiedBy>
  <cp:revision>1</cp:revision>
  <dcterms:created xsi:type="dcterms:W3CDTF">2019-09-02T01:28:00Z</dcterms:created>
  <dcterms:modified xsi:type="dcterms:W3CDTF">2019-09-02T01:30:00Z</dcterms:modified>
</cp:coreProperties>
</file>