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536D" w14:textId="77777777" w:rsidR="009F3E29" w:rsidRPr="00966864" w:rsidRDefault="009F3E29" w:rsidP="009F3E29">
      <w:pPr>
        <w:autoSpaceDE w:val="0"/>
        <w:autoSpaceDN w:val="0"/>
        <w:adjustRightInd w:val="0"/>
        <w:spacing w:before="360" w:after="0" w:line="276" w:lineRule="auto"/>
        <w:outlineLvl w:val="0"/>
        <w:rPr>
          <w:rFonts w:ascii="Arial" w:eastAsia="Batang" w:hAnsi="Arial" w:cs="Arial"/>
          <w:b/>
          <w:bCs/>
          <w:color w:val="808080"/>
          <w:sz w:val="24"/>
          <w:szCs w:val="24"/>
        </w:rPr>
      </w:pPr>
      <w:r w:rsidRPr="00966864">
        <w:rPr>
          <w:rFonts w:ascii="Arial" w:eastAsia="Batang" w:hAnsi="Arial" w:cs="Arial"/>
          <w:b/>
          <w:bCs/>
          <w:color w:val="808080"/>
          <w:sz w:val="24"/>
          <w:szCs w:val="24"/>
        </w:rPr>
        <w:t>SUPPLEMENTARY APPENDIX</w:t>
      </w:r>
    </w:p>
    <w:p w14:paraId="383C41E8" w14:textId="77777777" w:rsidR="009F3E29" w:rsidRPr="00966864" w:rsidRDefault="009F3E29" w:rsidP="009F3E29">
      <w:pPr>
        <w:autoSpaceDE w:val="0"/>
        <w:autoSpaceDN w:val="0"/>
        <w:adjustRightInd w:val="0"/>
        <w:spacing w:before="360" w:after="0" w:line="276" w:lineRule="auto"/>
        <w:contextualSpacing/>
        <w:outlineLvl w:val="1"/>
        <w:rPr>
          <w:rFonts w:ascii="Arial" w:eastAsia="Batang" w:hAnsi="Arial" w:cs="Arial"/>
          <w:b/>
          <w:bCs/>
          <w:color w:val="808080"/>
          <w:sz w:val="24"/>
          <w:szCs w:val="24"/>
        </w:rPr>
      </w:pPr>
      <w:r w:rsidRPr="00966864">
        <w:rPr>
          <w:rFonts w:ascii="Arial" w:eastAsia="Batang" w:hAnsi="Arial" w:cs="Arial"/>
          <w:b/>
          <w:bCs/>
          <w:color w:val="808080"/>
          <w:sz w:val="24"/>
          <w:szCs w:val="24"/>
        </w:rPr>
        <w:t>Model inputs</w:t>
      </w:r>
    </w:p>
    <w:p w14:paraId="7AB93BCB" w14:textId="77777777" w:rsidR="009F3E29" w:rsidRPr="00966864" w:rsidRDefault="009F3E29" w:rsidP="009F3E29">
      <w:pPr>
        <w:autoSpaceDE w:val="0"/>
        <w:autoSpaceDN w:val="0"/>
        <w:adjustRightInd w:val="0"/>
        <w:spacing w:before="240" w:after="0" w:line="276" w:lineRule="auto"/>
        <w:outlineLvl w:val="2"/>
        <w:rPr>
          <w:rFonts w:ascii="Arial" w:eastAsia="Batang" w:hAnsi="Arial" w:cs="Arial"/>
          <w:b/>
          <w:bCs/>
          <w:i/>
          <w:color w:val="808080"/>
          <w:sz w:val="24"/>
          <w:szCs w:val="24"/>
        </w:rPr>
      </w:pPr>
      <w:r w:rsidRPr="00966864">
        <w:rPr>
          <w:rFonts w:ascii="Arial" w:eastAsia="Batang" w:hAnsi="Arial" w:cs="Arial"/>
          <w:b/>
          <w:bCs/>
          <w:i/>
          <w:color w:val="808080"/>
          <w:sz w:val="24"/>
          <w:szCs w:val="24"/>
        </w:rPr>
        <w:t>Additional drug costs</w:t>
      </w:r>
    </w:p>
    <w:p w14:paraId="2F37C4C5" w14:textId="737CBFEC" w:rsidR="009F3E29" w:rsidRPr="00966864" w:rsidRDefault="009F3E29" w:rsidP="009F3E29">
      <w:pPr>
        <w:autoSpaceDE w:val="0"/>
        <w:autoSpaceDN w:val="0"/>
        <w:adjustRightInd w:val="0"/>
        <w:spacing w:after="0" w:line="276" w:lineRule="auto"/>
        <w:rPr>
          <w:rFonts w:ascii="Arial" w:eastAsia="Batang" w:hAnsi="Arial" w:cs="Arial"/>
          <w:bCs/>
          <w:szCs w:val="24"/>
        </w:rPr>
      </w:pPr>
      <w:r w:rsidRPr="00966864">
        <w:rPr>
          <w:rFonts w:ascii="Arial" w:eastAsia="Batang" w:hAnsi="Arial" w:cs="Arial"/>
          <w:bCs/>
          <w:szCs w:val="24"/>
        </w:rPr>
        <w:t xml:space="preserve">Costs of drug treatments for moderate exacerbations and use of salbutamol rescue medication were also included in the analysis. In IMPACT, </w:t>
      </w:r>
      <w:proofErr w:type="gramStart"/>
      <w:r w:rsidRPr="00966864">
        <w:rPr>
          <w:rFonts w:ascii="Arial" w:eastAsia="Batang" w:hAnsi="Arial" w:cs="Arial"/>
          <w:bCs/>
          <w:szCs w:val="24"/>
        </w:rPr>
        <w:t>the majority of</w:t>
      </w:r>
      <w:proofErr w:type="gramEnd"/>
      <w:r w:rsidRPr="00966864">
        <w:rPr>
          <w:rFonts w:ascii="Arial" w:eastAsia="Batang" w:hAnsi="Arial" w:cs="Arial"/>
          <w:bCs/>
          <w:szCs w:val="24"/>
        </w:rPr>
        <w:t xml:space="preserve"> patients who experienced a moderate exacerbation received oral corticosteroids and antibiotics, which was estimated to cost C$7.59 per event using c</w:t>
      </w:r>
      <w:r w:rsidR="00966864">
        <w:rPr>
          <w:rFonts w:ascii="Arial" w:eastAsia="Batang" w:hAnsi="Arial" w:cs="Arial"/>
          <w:bCs/>
          <w:szCs w:val="24"/>
        </w:rPr>
        <w:t>osts from the ODB Formulary.</w:t>
      </w:r>
      <w:r w:rsidR="00966864" w:rsidRPr="00966864">
        <w:rPr>
          <w:rFonts w:ascii="Arial" w:eastAsia="Batang" w:hAnsi="Arial" w:cs="Arial"/>
          <w:bCs/>
          <w:szCs w:val="24"/>
          <w:vertAlign w:val="superscript"/>
        </w:rPr>
        <w:t>19</w:t>
      </w:r>
      <w:r w:rsidRPr="00966864">
        <w:rPr>
          <w:rFonts w:ascii="Arial" w:eastAsia="Batang" w:hAnsi="Arial" w:cs="Arial"/>
          <w:bCs/>
          <w:szCs w:val="24"/>
        </w:rPr>
        <w:t xml:space="preserve"> Rescue medication use was assumed to c</w:t>
      </w:r>
      <w:r w:rsidR="00966864">
        <w:rPr>
          <w:rFonts w:ascii="Arial" w:eastAsia="Batang" w:hAnsi="Arial" w:cs="Arial"/>
          <w:bCs/>
          <w:szCs w:val="24"/>
        </w:rPr>
        <w:t>ost C$0.0250 per inhalation.</w:t>
      </w:r>
      <w:r w:rsidR="00966864" w:rsidRPr="00966864">
        <w:rPr>
          <w:rFonts w:ascii="Arial" w:eastAsia="Batang" w:hAnsi="Arial" w:cs="Arial"/>
          <w:bCs/>
          <w:szCs w:val="24"/>
          <w:vertAlign w:val="superscript"/>
        </w:rPr>
        <w:t>19</w:t>
      </w:r>
    </w:p>
    <w:p w14:paraId="0984944F" w14:textId="77777777" w:rsidR="009F3E29" w:rsidRPr="00966864" w:rsidRDefault="009F3E29" w:rsidP="009F3E29">
      <w:pPr>
        <w:shd w:val="clear" w:color="auto" w:fill="E7E6E6"/>
        <w:autoSpaceDE w:val="0"/>
        <w:autoSpaceDN w:val="0"/>
        <w:adjustRightInd w:val="0"/>
        <w:spacing w:before="360" w:after="0" w:line="276" w:lineRule="auto"/>
        <w:contextualSpacing/>
        <w:outlineLvl w:val="1"/>
        <w:rPr>
          <w:rFonts w:ascii="Arial" w:eastAsia="Batang" w:hAnsi="Arial" w:cs="Arial"/>
          <w:b/>
          <w:bCs/>
          <w:color w:val="808080"/>
          <w:sz w:val="24"/>
          <w:szCs w:val="24"/>
        </w:rPr>
      </w:pPr>
      <w:r w:rsidRPr="00966864">
        <w:rPr>
          <w:rFonts w:ascii="Arial" w:eastAsia="Batang" w:hAnsi="Arial" w:cs="Arial"/>
          <w:b/>
          <w:bCs/>
          <w:color w:val="808080"/>
          <w:sz w:val="24"/>
          <w:szCs w:val="24"/>
        </w:rPr>
        <w:t>Table S1. Values for 6MWT equation – ITT population</w:t>
      </w:r>
    </w:p>
    <w:p w14:paraId="3E3A4CE7" w14:textId="77777777" w:rsidR="009F3E29" w:rsidRPr="00966864" w:rsidRDefault="009F3E29" w:rsidP="009F3E29">
      <w:pPr>
        <w:autoSpaceDE w:val="0"/>
        <w:autoSpaceDN w:val="0"/>
        <w:adjustRightInd w:val="0"/>
        <w:spacing w:before="120" w:after="120" w:line="276" w:lineRule="auto"/>
        <w:rPr>
          <w:rFonts w:ascii="Arial" w:eastAsia="Batang" w:hAnsi="Arial" w:cs="Arial"/>
          <w:bCs/>
          <w:szCs w:val="24"/>
        </w:rPr>
      </w:pPr>
      <w:r w:rsidRPr="00966864">
        <w:rPr>
          <w:rFonts w:ascii="Arial" w:eastAsia="Batang" w:hAnsi="Arial" w:cs="Arial"/>
          <w:bCs/>
          <w:szCs w:val="24"/>
        </w:rPr>
        <w:t>The same criteria as the equation for fibrinogen prediction were used to select a version of the regression model to predict 6MWT. The equation with FEV</w:t>
      </w:r>
      <w:r w:rsidRPr="00966864">
        <w:rPr>
          <w:rFonts w:ascii="Arial" w:eastAsia="Batang" w:hAnsi="Arial" w:cs="Arial"/>
          <w:bCs/>
          <w:szCs w:val="24"/>
          <w:vertAlign w:val="subscript"/>
        </w:rPr>
        <w:t>1</w:t>
      </w:r>
      <w:r w:rsidRPr="00966864">
        <w:rPr>
          <w:rFonts w:ascii="Arial" w:eastAsia="Batang" w:hAnsi="Arial" w:cs="Arial"/>
          <w:bCs/>
          <w:szCs w:val="24"/>
        </w:rPr>
        <w:t>% predicted was selected over the version with FEV</w:t>
      </w:r>
      <w:r w:rsidRPr="00966864">
        <w:rPr>
          <w:rFonts w:ascii="Arial" w:eastAsia="Batang" w:hAnsi="Arial" w:cs="Arial"/>
          <w:bCs/>
          <w:szCs w:val="24"/>
          <w:vertAlign w:val="subscript"/>
        </w:rPr>
        <w:t>1</w:t>
      </w:r>
      <w:r w:rsidRPr="00966864">
        <w:rPr>
          <w:rFonts w:ascii="Arial" w:eastAsia="Batang" w:hAnsi="Arial" w:cs="Arial"/>
          <w:bCs/>
          <w:szCs w:val="24"/>
        </w:rPr>
        <w:t xml:space="preserve"> volume based on a higher r</w:t>
      </w:r>
      <w:r w:rsidRPr="00966864">
        <w:rPr>
          <w:rFonts w:ascii="Arial" w:eastAsia="Batang" w:hAnsi="Arial" w:cs="Arial"/>
          <w:bCs/>
          <w:szCs w:val="24"/>
          <w:vertAlign w:val="superscript"/>
        </w:rPr>
        <w:t>2</w:t>
      </w:r>
      <w:r w:rsidRPr="00966864">
        <w:rPr>
          <w:rFonts w:ascii="Arial" w:eastAsia="Batang" w:hAnsi="Arial" w:cs="Arial"/>
          <w:bCs/>
          <w:szCs w:val="24"/>
        </w:rPr>
        <w:t xml:space="preserve"> value, and variables that tested at p&gt;0.005 were omitted after the initial test. The final coefficients included in the final model for baseline 6MWT are presented in Table S1.</w:t>
      </w:r>
    </w:p>
    <w:tbl>
      <w:tblPr>
        <w:tblW w:w="5276" w:type="pct"/>
        <w:tblBorders>
          <w:top w:val="single" w:sz="2" w:space="0" w:color="000000"/>
          <w:bottom w:val="single" w:sz="2" w:space="0" w:color="000000"/>
        </w:tblBorders>
        <w:tblLook w:val="0420" w:firstRow="1" w:lastRow="0" w:firstColumn="0" w:lastColumn="0" w:noHBand="0" w:noVBand="1"/>
      </w:tblPr>
      <w:tblGrid>
        <w:gridCol w:w="2795"/>
        <w:gridCol w:w="3437"/>
        <w:gridCol w:w="3520"/>
      </w:tblGrid>
      <w:tr w:rsidR="009F3E29" w:rsidRPr="00966864" w14:paraId="06D3EF2B" w14:textId="77777777" w:rsidTr="00980A85">
        <w:trPr>
          <w:trHeight w:val="315"/>
          <w:tblHeader/>
        </w:trPr>
        <w:tc>
          <w:tcPr>
            <w:tcW w:w="1433" w:type="pct"/>
            <w:tcBorders>
              <w:top w:val="single" w:sz="2" w:space="0" w:color="000000"/>
              <w:left w:val="nil"/>
              <w:bottom w:val="double" w:sz="4" w:space="0" w:color="auto"/>
              <w:right w:val="nil"/>
              <w:tl2br w:val="nil"/>
              <w:tr2bl w:val="nil"/>
            </w:tcBorders>
            <w:noWrap/>
            <w:hideMark/>
          </w:tcPr>
          <w:p w14:paraId="5DA50837" w14:textId="77777777" w:rsidR="009F3E29" w:rsidRPr="00966864" w:rsidRDefault="009F3E29" w:rsidP="009F3E29">
            <w:pPr>
              <w:keepNext/>
              <w:spacing w:before="40" w:after="40" w:line="276" w:lineRule="auto"/>
              <w:jc w:val="both"/>
              <w:rPr>
                <w:rFonts w:ascii="Arial" w:eastAsia="Calibri" w:hAnsi="Arial" w:cs="Arial"/>
                <w:b/>
                <w:color w:val="000000"/>
                <w:sz w:val="20"/>
                <w:szCs w:val="26"/>
              </w:rPr>
            </w:pPr>
          </w:p>
        </w:tc>
        <w:tc>
          <w:tcPr>
            <w:tcW w:w="1762" w:type="pct"/>
            <w:tcBorders>
              <w:top w:val="single" w:sz="2" w:space="0" w:color="000000"/>
              <w:left w:val="nil"/>
              <w:bottom w:val="double" w:sz="4" w:space="0" w:color="auto"/>
              <w:right w:val="nil"/>
              <w:tl2br w:val="nil"/>
              <w:tr2bl w:val="nil"/>
            </w:tcBorders>
            <w:noWrap/>
            <w:hideMark/>
          </w:tcPr>
          <w:p w14:paraId="1F391F11" w14:textId="77777777" w:rsidR="009F3E29" w:rsidRPr="00966864" w:rsidRDefault="009F3E29" w:rsidP="009F3E29">
            <w:pPr>
              <w:keepNext/>
              <w:spacing w:before="40" w:after="40" w:line="276" w:lineRule="auto"/>
              <w:jc w:val="center"/>
              <w:rPr>
                <w:rFonts w:ascii="Arial" w:eastAsia="Calibri" w:hAnsi="Arial" w:cs="Arial"/>
                <w:b/>
                <w:color w:val="000000"/>
                <w:sz w:val="20"/>
                <w:szCs w:val="26"/>
              </w:rPr>
            </w:pPr>
            <w:r w:rsidRPr="00966864">
              <w:rPr>
                <w:rFonts w:ascii="Arial" w:eastAsia="Calibri" w:hAnsi="Arial" w:cs="Arial"/>
                <w:b/>
                <w:color w:val="000000"/>
                <w:sz w:val="20"/>
                <w:szCs w:val="26"/>
              </w:rPr>
              <w:t>Coefficient (β</w:t>
            </w:r>
            <w:r w:rsidRPr="00966864">
              <w:rPr>
                <w:rFonts w:ascii="Arial" w:eastAsia="Calibri" w:hAnsi="Arial" w:cs="Arial"/>
                <w:b/>
                <w:color w:val="000000"/>
                <w:sz w:val="20"/>
                <w:szCs w:val="26"/>
                <w:vertAlign w:val="subscript"/>
              </w:rPr>
              <w:t>i</w:t>
            </w:r>
            <w:r w:rsidRPr="00966864">
              <w:rPr>
                <w:rFonts w:ascii="Arial" w:eastAsia="Calibri" w:hAnsi="Arial" w:cs="Arial"/>
                <w:b/>
                <w:color w:val="000000"/>
                <w:sz w:val="20"/>
                <w:szCs w:val="26"/>
              </w:rPr>
              <w:t>)</w:t>
            </w:r>
          </w:p>
        </w:tc>
        <w:tc>
          <w:tcPr>
            <w:tcW w:w="1805" w:type="pct"/>
            <w:tcBorders>
              <w:top w:val="single" w:sz="2" w:space="0" w:color="000000"/>
              <w:left w:val="nil"/>
              <w:bottom w:val="double" w:sz="4" w:space="0" w:color="auto"/>
              <w:right w:val="nil"/>
              <w:tl2br w:val="nil"/>
              <w:tr2bl w:val="nil"/>
            </w:tcBorders>
            <w:noWrap/>
            <w:hideMark/>
          </w:tcPr>
          <w:p w14:paraId="6D699708" w14:textId="77777777" w:rsidR="009F3E29" w:rsidRPr="00966864" w:rsidRDefault="009F3E29" w:rsidP="009F3E29">
            <w:pPr>
              <w:keepNext/>
              <w:spacing w:before="40" w:after="40" w:line="276" w:lineRule="auto"/>
              <w:jc w:val="center"/>
              <w:rPr>
                <w:rFonts w:ascii="Arial" w:eastAsia="Calibri" w:hAnsi="Arial" w:cs="Arial"/>
                <w:b/>
                <w:color w:val="000000"/>
                <w:sz w:val="20"/>
                <w:szCs w:val="26"/>
              </w:rPr>
            </w:pPr>
            <w:r w:rsidRPr="00966864">
              <w:rPr>
                <w:rFonts w:ascii="Arial" w:eastAsia="Calibri" w:hAnsi="Arial" w:cs="Arial"/>
                <w:b/>
                <w:color w:val="000000"/>
                <w:sz w:val="20"/>
                <w:szCs w:val="26"/>
              </w:rPr>
              <w:t>Variable (x</w:t>
            </w:r>
            <w:r w:rsidRPr="00966864">
              <w:rPr>
                <w:rFonts w:ascii="Arial" w:eastAsia="Calibri" w:hAnsi="Arial" w:cs="Arial"/>
                <w:b/>
                <w:color w:val="000000"/>
                <w:sz w:val="20"/>
                <w:szCs w:val="26"/>
                <w:vertAlign w:val="subscript"/>
              </w:rPr>
              <w:t>i</w:t>
            </w:r>
            <w:r w:rsidRPr="00966864">
              <w:rPr>
                <w:rFonts w:ascii="Arial" w:eastAsia="Calibri" w:hAnsi="Arial" w:cs="Arial"/>
                <w:b/>
                <w:color w:val="000000"/>
                <w:sz w:val="20"/>
                <w:szCs w:val="26"/>
              </w:rPr>
              <w:t>) input for ITT</w:t>
            </w:r>
          </w:p>
        </w:tc>
      </w:tr>
      <w:tr w:rsidR="009F3E29" w:rsidRPr="00966864" w14:paraId="4BBE44A4" w14:textId="77777777" w:rsidTr="00980A85">
        <w:trPr>
          <w:trHeight w:val="315"/>
        </w:trPr>
        <w:tc>
          <w:tcPr>
            <w:tcW w:w="1433" w:type="pct"/>
            <w:tcBorders>
              <w:top w:val="double" w:sz="4" w:space="0" w:color="auto"/>
            </w:tcBorders>
            <w:shd w:val="clear" w:color="auto" w:fill="FFFFFF"/>
            <w:hideMark/>
          </w:tcPr>
          <w:p w14:paraId="0B8AEF69"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β</w:t>
            </w:r>
            <w:r w:rsidRPr="00966864">
              <w:rPr>
                <w:rFonts w:ascii="Arial" w:eastAsia="Calibri" w:hAnsi="Arial" w:cs="Arial"/>
                <w:color w:val="000000"/>
                <w:sz w:val="20"/>
                <w:szCs w:val="21"/>
                <w:vertAlign w:val="subscript"/>
              </w:rPr>
              <w:t>0</w:t>
            </w:r>
          </w:p>
        </w:tc>
        <w:tc>
          <w:tcPr>
            <w:tcW w:w="1762" w:type="pct"/>
            <w:tcBorders>
              <w:top w:val="double" w:sz="4" w:space="0" w:color="auto"/>
            </w:tcBorders>
            <w:shd w:val="clear" w:color="auto" w:fill="FFFFFF"/>
            <w:noWrap/>
            <w:hideMark/>
          </w:tcPr>
          <w:p w14:paraId="6C0F37C1"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326.6785</w:t>
            </w:r>
          </w:p>
        </w:tc>
        <w:tc>
          <w:tcPr>
            <w:tcW w:w="1805" w:type="pct"/>
            <w:tcBorders>
              <w:top w:val="double" w:sz="4" w:space="0" w:color="auto"/>
            </w:tcBorders>
            <w:shd w:val="clear" w:color="auto" w:fill="FFFFFF"/>
            <w:noWrap/>
          </w:tcPr>
          <w:p w14:paraId="1EDAD230"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w:t>
            </w:r>
          </w:p>
        </w:tc>
      </w:tr>
      <w:tr w:rsidR="009F3E29" w:rsidRPr="00966864" w14:paraId="3FECBABF" w14:textId="77777777" w:rsidTr="00980A85">
        <w:trPr>
          <w:trHeight w:val="324"/>
        </w:trPr>
        <w:tc>
          <w:tcPr>
            <w:tcW w:w="1433" w:type="pct"/>
            <w:shd w:val="clear" w:color="auto" w:fill="FFFFFF"/>
            <w:hideMark/>
          </w:tcPr>
          <w:p w14:paraId="5D5C332C"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Age, years</w:t>
            </w:r>
          </w:p>
        </w:tc>
        <w:tc>
          <w:tcPr>
            <w:tcW w:w="1762" w:type="pct"/>
            <w:shd w:val="clear" w:color="auto" w:fill="FFFFFF"/>
            <w:noWrap/>
            <w:hideMark/>
          </w:tcPr>
          <w:p w14:paraId="352418E5"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−2.29716</w:t>
            </w:r>
          </w:p>
        </w:tc>
        <w:tc>
          <w:tcPr>
            <w:tcW w:w="1805" w:type="pct"/>
            <w:shd w:val="clear" w:color="auto" w:fill="FFFFFF"/>
            <w:noWrap/>
          </w:tcPr>
          <w:p w14:paraId="44DBD0F9"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65.3</w:t>
            </w:r>
          </w:p>
        </w:tc>
      </w:tr>
      <w:tr w:rsidR="009F3E29" w:rsidRPr="00966864" w14:paraId="46D4E6D4" w14:textId="77777777" w:rsidTr="00980A85">
        <w:trPr>
          <w:trHeight w:val="315"/>
        </w:trPr>
        <w:tc>
          <w:tcPr>
            <w:tcW w:w="1433" w:type="pct"/>
            <w:shd w:val="clear" w:color="auto" w:fill="FFFFFF"/>
            <w:hideMark/>
          </w:tcPr>
          <w:p w14:paraId="77C50681"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 xml:space="preserve">Fibrinogen, </w:t>
            </w:r>
            <w:proofErr w:type="spellStart"/>
            <w:r w:rsidRPr="00966864">
              <w:rPr>
                <w:rFonts w:ascii="Arial" w:eastAsia="Calibri" w:hAnsi="Arial" w:cs="Arial"/>
                <w:color w:val="000000"/>
                <w:sz w:val="20"/>
                <w:szCs w:val="21"/>
              </w:rPr>
              <w:t>μg</w:t>
            </w:r>
            <w:proofErr w:type="spellEnd"/>
            <w:r w:rsidRPr="00966864">
              <w:rPr>
                <w:rFonts w:ascii="Arial" w:eastAsia="Calibri" w:hAnsi="Arial" w:cs="Arial"/>
                <w:color w:val="000000"/>
                <w:sz w:val="20"/>
                <w:szCs w:val="21"/>
              </w:rPr>
              <w:t>/dL</w:t>
            </w:r>
          </w:p>
        </w:tc>
        <w:tc>
          <w:tcPr>
            <w:tcW w:w="1762" w:type="pct"/>
            <w:shd w:val="clear" w:color="auto" w:fill="FFFFFF"/>
            <w:noWrap/>
            <w:hideMark/>
          </w:tcPr>
          <w:p w14:paraId="5C9769E3"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−0.07836</w:t>
            </w:r>
          </w:p>
        </w:tc>
        <w:tc>
          <w:tcPr>
            <w:tcW w:w="1805" w:type="pct"/>
            <w:shd w:val="clear" w:color="auto" w:fill="FFFFFF"/>
            <w:noWrap/>
          </w:tcPr>
          <w:p w14:paraId="37C62060"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477.5</w:t>
            </w:r>
            <w:r w:rsidRPr="00966864">
              <w:rPr>
                <w:rFonts w:ascii="Arial" w:eastAsia="Calibri" w:hAnsi="Arial" w:cs="Arial"/>
                <w:color w:val="000000"/>
                <w:sz w:val="20"/>
                <w:szCs w:val="21"/>
                <w:vertAlign w:val="superscript"/>
              </w:rPr>
              <w:t>#</w:t>
            </w:r>
          </w:p>
        </w:tc>
      </w:tr>
      <w:tr w:rsidR="009F3E29" w:rsidRPr="00966864" w14:paraId="321BB3EB" w14:textId="77777777" w:rsidTr="00980A85">
        <w:trPr>
          <w:trHeight w:val="324"/>
        </w:trPr>
        <w:tc>
          <w:tcPr>
            <w:tcW w:w="1433" w:type="pct"/>
            <w:shd w:val="clear" w:color="auto" w:fill="FFFFFF"/>
            <w:hideMark/>
          </w:tcPr>
          <w:p w14:paraId="70A838B1"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FEV</w:t>
            </w:r>
            <w:r w:rsidRPr="00966864">
              <w:rPr>
                <w:rFonts w:ascii="Arial" w:eastAsia="Calibri" w:hAnsi="Arial" w:cs="Arial"/>
                <w:color w:val="000000"/>
                <w:sz w:val="20"/>
                <w:szCs w:val="21"/>
                <w:vertAlign w:val="subscript"/>
              </w:rPr>
              <w:t>1</w:t>
            </w:r>
            <w:r w:rsidRPr="00966864">
              <w:rPr>
                <w:rFonts w:ascii="Arial" w:eastAsia="Calibri" w:hAnsi="Arial" w:cs="Arial"/>
                <w:color w:val="000000"/>
                <w:sz w:val="20"/>
                <w:szCs w:val="21"/>
              </w:rPr>
              <w:t>% predicted</w:t>
            </w:r>
          </w:p>
        </w:tc>
        <w:tc>
          <w:tcPr>
            <w:tcW w:w="1762" w:type="pct"/>
            <w:shd w:val="clear" w:color="auto" w:fill="FFFFFF"/>
            <w:noWrap/>
            <w:hideMark/>
          </w:tcPr>
          <w:p w14:paraId="0093CACD"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2.0078</w:t>
            </w:r>
          </w:p>
        </w:tc>
        <w:tc>
          <w:tcPr>
            <w:tcW w:w="1805" w:type="pct"/>
            <w:shd w:val="clear" w:color="auto" w:fill="FFFFFF"/>
            <w:noWrap/>
          </w:tcPr>
          <w:p w14:paraId="40D7CE8C"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45.5</w:t>
            </w:r>
          </w:p>
        </w:tc>
      </w:tr>
      <w:tr w:rsidR="009F3E29" w:rsidRPr="00966864" w14:paraId="4A5EF931" w14:textId="77777777" w:rsidTr="00980A85">
        <w:trPr>
          <w:trHeight w:val="315"/>
        </w:trPr>
        <w:tc>
          <w:tcPr>
            <w:tcW w:w="1433" w:type="pct"/>
            <w:shd w:val="clear" w:color="auto" w:fill="FFFFFF"/>
            <w:hideMark/>
          </w:tcPr>
          <w:p w14:paraId="6BD20241"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Height, cm</w:t>
            </w:r>
          </w:p>
        </w:tc>
        <w:tc>
          <w:tcPr>
            <w:tcW w:w="1762" w:type="pct"/>
            <w:shd w:val="clear" w:color="auto" w:fill="FFFFFF"/>
            <w:noWrap/>
            <w:hideMark/>
          </w:tcPr>
          <w:p w14:paraId="72AD672E"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1.11649</w:t>
            </w:r>
          </w:p>
        </w:tc>
        <w:tc>
          <w:tcPr>
            <w:tcW w:w="1805" w:type="pct"/>
            <w:shd w:val="clear" w:color="auto" w:fill="FFFFFF"/>
            <w:noWrap/>
          </w:tcPr>
          <w:p w14:paraId="015C3B63"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167.5</w:t>
            </w:r>
          </w:p>
        </w:tc>
      </w:tr>
      <w:tr w:rsidR="009F3E29" w:rsidRPr="00966864" w14:paraId="16D04CEA" w14:textId="77777777" w:rsidTr="00980A85">
        <w:trPr>
          <w:trHeight w:val="315"/>
        </w:trPr>
        <w:tc>
          <w:tcPr>
            <w:tcW w:w="1433" w:type="pct"/>
            <w:shd w:val="clear" w:color="auto" w:fill="FFFFFF"/>
            <w:hideMark/>
          </w:tcPr>
          <w:p w14:paraId="388A976E"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Female</w:t>
            </w:r>
          </w:p>
        </w:tc>
        <w:tc>
          <w:tcPr>
            <w:tcW w:w="1762" w:type="pct"/>
            <w:shd w:val="clear" w:color="auto" w:fill="FFFFFF"/>
            <w:noWrap/>
            <w:hideMark/>
          </w:tcPr>
          <w:p w14:paraId="37E038F8"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−21.2676</w:t>
            </w:r>
          </w:p>
        </w:tc>
        <w:tc>
          <w:tcPr>
            <w:tcW w:w="1805" w:type="pct"/>
            <w:shd w:val="clear" w:color="auto" w:fill="FFFFFF"/>
            <w:noWrap/>
          </w:tcPr>
          <w:p w14:paraId="2FF64C0D"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34%</w:t>
            </w:r>
          </w:p>
        </w:tc>
      </w:tr>
      <w:tr w:rsidR="009F3E29" w:rsidRPr="00966864" w14:paraId="66B52D2C" w14:textId="77777777" w:rsidTr="00980A85">
        <w:trPr>
          <w:trHeight w:val="324"/>
        </w:trPr>
        <w:tc>
          <w:tcPr>
            <w:tcW w:w="1433" w:type="pct"/>
            <w:shd w:val="clear" w:color="auto" w:fill="FFFFFF"/>
            <w:hideMark/>
          </w:tcPr>
          <w:p w14:paraId="50237DB4"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CVD comorbidity</w:t>
            </w:r>
          </w:p>
        </w:tc>
        <w:tc>
          <w:tcPr>
            <w:tcW w:w="1762" w:type="pct"/>
            <w:shd w:val="clear" w:color="auto" w:fill="FFFFFF"/>
            <w:noWrap/>
            <w:hideMark/>
          </w:tcPr>
          <w:p w14:paraId="7C9A5447"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−15.832</w:t>
            </w:r>
          </w:p>
        </w:tc>
        <w:tc>
          <w:tcPr>
            <w:tcW w:w="1805" w:type="pct"/>
            <w:shd w:val="clear" w:color="auto" w:fill="FFFFFF"/>
            <w:noWrap/>
          </w:tcPr>
          <w:p w14:paraId="47A02B97"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44%</w:t>
            </w:r>
          </w:p>
        </w:tc>
      </w:tr>
      <w:tr w:rsidR="009F3E29" w:rsidRPr="00966864" w14:paraId="521FA2F5" w14:textId="77777777" w:rsidTr="00980A85">
        <w:trPr>
          <w:trHeight w:val="315"/>
        </w:trPr>
        <w:tc>
          <w:tcPr>
            <w:tcW w:w="1433" w:type="pct"/>
            <w:shd w:val="clear" w:color="auto" w:fill="FFFFFF"/>
            <w:hideMark/>
          </w:tcPr>
          <w:p w14:paraId="4F92F1B6" w14:textId="4710E1F2" w:rsidR="009F3E29" w:rsidRPr="00966864" w:rsidRDefault="009F3E29" w:rsidP="003872CA">
            <w:pPr>
              <w:keepNext/>
              <w:spacing w:before="40" w:after="40" w:line="276" w:lineRule="auto"/>
              <w:jc w:val="both"/>
              <w:rPr>
                <w:rFonts w:ascii="Arial" w:eastAsia="Calibri" w:hAnsi="Arial" w:cs="Arial"/>
                <w:color w:val="000000"/>
                <w:sz w:val="20"/>
                <w:szCs w:val="21"/>
              </w:rPr>
            </w:pPr>
            <w:proofErr w:type="spellStart"/>
            <w:r w:rsidRPr="00966864">
              <w:rPr>
                <w:rFonts w:ascii="Arial" w:eastAsia="Calibri" w:hAnsi="Arial" w:cs="Arial"/>
                <w:color w:val="000000"/>
                <w:sz w:val="20"/>
                <w:szCs w:val="21"/>
              </w:rPr>
              <w:t>mMRC</w:t>
            </w:r>
            <w:proofErr w:type="spellEnd"/>
            <w:r w:rsidRPr="00966864">
              <w:rPr>
                <w:rFonts w:ascii="Arial" w:eastAsia="Calibri" w:hAnsi="Arial" w:cs="Arial"/>
                <w:color w:val="000000"/>
                <w:sz w:val="20"/>
                <w:szCs w:val="21"/>
              </w:rPr>
              <w:t xml:space="preserve"> </w:t>
            </w:r>
            <w:proofErr w:type="spellStart"/>
            <w:r w:rsidRPr="00966864">
              <w:rPr>
                <w:rFonts w:ascii="Arial" w:eastAsia="Calibri" w:hAnsi="Arial" w:cs="Arial"/>
                <w:color w:val="000000"/>
                <w:sz w:val="20"/>
                <w:szCs w:val="21"/>
              </w:rPr>
              <w:t>dyspnea</w:t>
            </w:r>
            <w:proofErr w:type="spellEnd"/>
            <w:r w:rsidRPr="00966864">
              <w:rPr>
                <w:rFonts w:ascii="Arial" w:eastAsia="Calibri" w:hAnsi="Arial" w:cs="Arial"/>
                <w:color w:val="000000"/>
                <w:sz w:val="20"/>
                <w:szCs w:val="21"/>
              </w:rPr>
              <w:t xml:space="preserve"> score ≥2</w:t>
            </w:r>
          </w:p>
        </w:tc>
        <w:tc>
          <w:tcPr>
            <w:tcW w:w="1762" w:type="pct"/>
            <w:shd w:val="clear" w:color="auto" w:fill="FFFFFF"/>
            <w:noWrap/>
            <w:hideMark/>
          </w:tcPr>
          <w:p w14:paraId="534FAF34"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−72.8311</w:t>
            </w:r>
          </w:p>
        </w:tc>
        <w:tc>
          <w:tcPr>
            <w:tcW w:w="1805" w:type="pct"/>
            <w:shd w:val="clear" w:color="auto" w:fill="FFFFFF"/>
            <w:noWrap/>
          </w:tcPr>
          <w:p w14:paraId="330140CC"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37%</w:t>
            </w:r>
          </w:p>
        </w:tc>
      </w:tr>
      <w:tr w:rsidR="009F3E29" w:rsidRPr="00966864" w14:paraId="0ED980CF" w14:textId="77777777" w:rsidTr="00980A85">
        <w:trPr>
          <w:trHeight w:val="170"/>
        </w:trPr>
        <w:tc>
          <w:tcPr>
            <w:tcW w:w="1433" w:type="pct"/>
            <w:tcBorders>
              <w:bottom w:val="dotted" w:sz="4" w:space="0" w:color="auto"/>
            </w:tcBorders>
            <w:shd w:val="clear" w:color="auto" w:fill="FFFFFF"/>
            <w:hideMark/>
          </w:tcPr>
          <w:p w14:paraId="22BB6A78"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BMI category high (&gt;30)</w:t>
            </w:r>
          </w:p>
        </w:tc>
        <w:tc>
          <w:tcPr>
            <w:tcW w:w="1762" w:type="pct"/>
            <w:tcBorders>
              <w:bottom w:val="dotted" w:sz="4" w:space="0" w:color="auto"/>
            </w:tcBorders>
            <w:shd w:val="clear" w:color="auto" w:fill="FFFFFF"/>
            <w:noWrap/>
            <w:hideMark/>
          </w:tcPr>
          <w:p w14:paraId="0AF052CA"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−42.7528</w:t>
            </w:r>
          </w:p>
        </w:tc>
        <w:tc>
          <w:tcPr>
            <w:tcW w:w="1805" w:type="pct"/>
            <w:tcBorders>
              <w:bottom w:val="dotted" w:sz="4" w:space="0" w:color="auto"/>
            </w:tcBorders>
            <w:shd w:val="clear" w:color="auto" w:fill="FFFFFF"/>
            <w:noWrap/>
          </w:tcPr>
          <w:p w14:paraId="40A4D704"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25%</w:t>
            </w:r>
          </w:p>
        </w:tc>
      </w:tr>
      <w:tr w:rsidR="009F3E29" w:rsidRPr="00966864" w14:paraId="15FA3883" w14:textId="77777777" w:rsidTr="00980A85">
        <w:trPr>
          <w:trHeight w:val="315"/>
        </w:trPr>
        <w:tc>
          <w:tcPr>
            <w:tcW w:w="1433" w:type="pct"/>
            <w:tcBorders>
              <w:top w:val="dotted" w:sz="4" w:space="0" w:color="auto"/>
              <w:bottom w:val="single" w:sz="2" w:space="0" w:color="000000"/>
            </w:tcBorders>
            <w:shd w:val="clear" w:color="auto" w:fill="FFFFFF"/>
            <w:noWrap/>
            <w:hideMark/>
          </w:tcPr>
          <w:p w14:paraId="492F3C32"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p>
        </w:tc>
        <w:tc>
          <w:tcPr>
            <w:tcW w:w="1762" w:type="pct"/>
            <w:tcBorders>
              <w:top w:val="dotted" w:sz="4" w:space="0" w:color="auto"/>
              <w:bottom w:val="single" w:sz="2" w:space="0" w:color="000000"/>
            </w:tcBorders>
            <w:shd w:val="clear" w:color="auto" w:fill="FFFFFF"/>
            <w:noWrap/>
            <w:hideMark/>
          </w:tcPr>
          <w:p w14:paraId="34253071" w14:textId="77777777" w:rsidR="009F3E29" w:rsidRPr="00966864" w:rsidRDefault="009F3E29" w:rsidP="009F3E29">
            <w:pPr>
              <w:keepNext/>
              <w:spacing w:before="40" w:after="40" w:line="276" w:lineRule="auto"/>
              <w:jc w:val="center"/>
              <w:rPr>
                <w:rFonts w:ascii="Arial" w:eastAsia="Calibri" w:hAnsi="Arial" w:cs="Arial"/>
                <w:b/>
                <w:color w:val="000000"/>
                <w:sz w:val="20"/>
                <w:szCs w:val="21"/>
              </w:rPr>
            </w:pPr>
            <w:r w:rsidRPr="00966864">
              <w:rPr>
                <w:rFonts w:ascii="Arial" w:eastAsia="Calibri" w:hAnsi="Arial" w:cs="Arial"/>
                <w:b/>
                <w:color w:val="000000"/>
                <w:sz w:val="20"/>
                <w:szCs w:val="21"/>
              </w:rPr>
              <w:t>Estimated mean 6MWT, m</w:t>
            </w:r>
          </w:p>
        </w:tc>
        <w:tc>
          <w:tcPr>
            <w:tcW w:w="1805" w:type="pct"/>
            <w:tcBorders>
              <w:top w:val="dotted" w:sz="4" w:space="0" w:color="auto"/>
              <w:bottom w:val="single" w:sz="2" w:space="0" w:color="000000"/>
            </w:tcBorders>
            <w:shd w:val="clear" w:color="auto" w:fill="FFFFFF"/>
            <w:noWrap/>
          </w:tcPr>
          <w:p w14:paraId="11C03692" w14:textId="77777777" w:rsidR="009F3E29" w:rsidRPr="00966864" w:rsidRDefault="009F3E29" w:rsidP="009F3E29">
            <w:pPr>
              <w:keepNext/>
              <w:spacing w:before="40" w:after="40" w:line="276" w:lineRule="auto"/>
              <w:jc w:val="center"/>
              <w:rPr>
                <w:rFonts w:ascii="Arial" w:eastAsia="Calibri" w:hAnsi="Arial" w:cs="Arial"/>
                <w:b/>
                <w:color w:val="000000"/>
                <w:sz w:val="20"/>
                <w:szCs w:val="21"/>
              </w:rPr>
            </w:pPr>
            <w:r w:rsidRPr="00966864">
              <w:rPr>
                <w:rFonts w:ascii="Arial" w:eastAsia="Calibri" w:hAnsi="Arial" w:cs="Arial"/>
                <w:b/>
                <w:color w:val="000000"/>
                <w:sz w:val="20"/>
                <w:szCs w:val="21"/>
              </w:rPr>
              <w:t>365.8</w:t>
            </w:r>
          </w:p>
        </w:tc>
      </w:tr>
    </w:tbl>
    <w:p w14:paraId="3B56B948" w14:textId="77777777" w:rsidR="009F3E29" w:rsidRPr="00966864" w:rsidRDefault="009F3E29" w:rsidP="009F3E29">
      <w:pPr>
        <w:autoSpaceDE w:val="0"/>
        <w:autoSpaceDN w:val="0"/>
        <w:adjustRightInd w:val="0"/>
        <w:spacing w:before="120" w:after="0" w:line="276" w:lineRule="auto"/>
        <w:rPr>
          <w:rFonts w:ascii="Arial" w:eastAsia="Batang" w:hAnsi="Arial" w:cs="Arial"/>
          <w:bCs/>
          <w:sz w:val="20"/>
          <w:szCs w:val="24"/>
        </w:rPr>
      </w:pPr>
      <w:r w:rsidRPr="00966864">
        <w:rPr>
          <w:rFonts w:ascii="Arial" w:eastAsia="Batang" w:hAnsi="Arial" w:cs="Arial"/>
          <w:bCs/>
          <w:sz w:val="20"/>
          <w:szCs w:val="24"/>
          <w:vertAlign w:val="superscript"/>
        </w:rPr>
        <w:t>#</w:t>
      </w:r>
      <w:r w:rsidRPr="00966864">
        <w:rPr>
          <w:rFonts w:ascii="Arial" w:eastAsia="Batang" w:hAnsi="Arial" w:cs="Arial"/>
          <w:bCs/>
          <w:sz w:val="20"/>
          <w:szCs w:val="24"/>
        </w:rPr>
        <w:t xml:space="preserve">Estimated value based on previous baseline prediction for fibrinogen. </w:t>
      </w:r>
    </w:p>
    <w:p w14:paraId="090EC1C5" w14:textId="72F7C261" w:rsidR="009F3E29" w:rsidRPr="00966864" w:rsidRDefault="00F211A9" w:rsidP="009F3E29">
      <w:pPr>
        <w:autoSpaceDE w:val="0"/>
        <w:autoSpaceDN w:val="0"/>
        <w:adjustRightInd w:val="0"/>
        <w:spacing w:before="120" w:after="0" w:line="276" w:lineRule="auto"/>
        <w:rPr>
          <w:rFonts w:ascii="Arial" w:eastAsia="Batang" w:hAnsi="Arial" w:cs="Arial"/>
          <w:bCs/>
          <w:sz w:val="20"/>
          <w:szCs w:val="24"/>
        </w:rPr>
      </w:pPr>
      <w:r>
        <w:rPr>
          <w:rFonts w:cs="Arial"/>
          <w:b/>
          <w:szCs w:val="20"/>
        </w:rPr>
        <w:t>Abbreviations:</w:t>
      </w:r>
      <w:r>
        <w:rPr>
          <w:rFonts w:cs="Arial"/>
          <w:szCs w:val="20"/>
        </w:rPr>
        <w:t xml:space="preserve"> </w:t>
      </w:r>
      <w:r w:rsidR="00B87CB1">
        <w:rPr>
          <w:rFonts w:ascii="Arial" w:eastAsia="Batang" w:hAnsi="Arial" w:cs="Arial"/>
          <w:bCs/>
          <w:sz w:val="20"/>
          <w:szCs w:val="24"/>
        </w:rPr>
        <w:t xml:space="preserve">6MWT, </w:t>
      </w:r>
      <w:r w:rsidR="009F3E29" w:rsidRPr="00966864">
        <w:rPr>
          <w:rFonts w:ascii="Arial" w:eastAsia="Batang" w:hAnsi="Arial" w:cs="Arial"/>
          <w:bCs/>
          <w:sz w:val="20"/>
          <w:szCs w:val="24"/>
        </w:rPr>
        <w:t>6-min walk test</w:t>
      </w:r>
      <w:r w:rsidR="00B87CB1">
        <w:rPr>
          <w:rFonts w:ascii="Arial" w:eastAsia="Batang" w:hAnsi="Arial" w:cs="Arial"/>
          <w:bCs/>
          <w:sz w:val="20"/>
          <w:szCs w:val="24"/>
        </w:rPr>
        <w:t xml:space="preserve">; BMI, body mass index; CVD, </w:t>
      </w:r>
      <w:r w:rsidR="009F3E29" w:rsidRPr="00966864">
        <w:rPr>
          <w:rFonts w:ascii="Arial" w:eastAsia="Batang" w:hAnsi="Arial" w:cs="Arial"/>
          <w:bCs/>
          <w:sz w:val="20"/>
          <w:szCs w:val="24"/>
        </w:rPr>
        <w:t>cardiovascular disease; FEV</w:t>
      </w:r>
      <w:r w:rsidR="009F3E29" w:rsidRPr="00966864">
        <w:rPr>
          <w:rFonts w:ascii="Arial" w:eastAsia="Batang" w:hAnsi="Arial" w:cs="Arial"/>
          <w:bCs/>
          <w:sz w:val="20"/>
          <w:szCs w:val="24"/>
          <w:vertAlign w:val="subscript"/>
        </w:rPr>
        <w:t>1</w:t>
      </w:r>
      <w:r w:rsidR="00B87CB1" w:rsidRPr="00B87CB1">
        <w:rPr>
          <w:rFonts w:ascii="Arial" w:eastAsia="Batang" w:hAnsi="Arial" w:cs="Arial"/>
          <w:bCs/>
          <w:sz w:val="20"/>
          <w:szCs w:val="24"/>
        </w:rPr>
        <w:t xml:space="preserve">, </w:t>
      </w:r>
      <w:r w:rsidR="00B87CB1">
        <w:rPr>
          <w:rFonts w:ascii="Arial" w:eastAsia="Batang" w:hAnsi="Arial" w:cs="Arial"/>
          <w:bCs/>
          <w:sz w:val="20"/>
          <w:szCs w:val="24"/>
        </w:rPr>
        <w:t>f</w:t>
      </w:r>
      <w:r w:rsidR="009F3E29" w:rsidRPr="00966864">
        <w:rPr>
          <w:rFonts w:ascii="Arial" w:eastAsia="Batang" w:hAnsi="Arial" w:cs="Arial"/>
          <w:bCs/>
          <w:sz w:val="20"/>
          <w:szCs w:val="24"/>
        </w:rPr>
        <w:t xml:space="preserve">orced expiratory volume in 1 s; </w:t>
      </w:r>
      <w:r w:rsidR="00B87CB1">
        <w:rPr>
          <w:rFonts w:ascii="Arial" w:eastAsia="Batang" w:hAnsi="Arial" w:cs="Arial"/>
          <w:bCs/>
          <w:sz w:val="20"/>
          <w:szCs w:val="24"/>
        </w:rPr>
        <w:t xml:space="preserve">ITT, intent to treat; </w:t>
      </w:r>
      <w:proofErr w:type="spellStart"/>
      <w:r w:rsidR="00B87CB1">
        <w:rPr>
          <w:rFonts w:ascii="Arial" w:eastAsia="Batang" w:hAnsi="Arial" w:cs="Arial"/>
          <w:bCs/>
          <w:sz w:val="20"/>
          <w:szCs w:val="24"/>
        </w:rPr>
        <w:t>mMRC</w:t>
      </w:r>
      <w:proofErr w:type="spellEnd"/>
      <w:r w:rsidR="00B87CB1">
        <w:rPr>
          <w:rFonts w:ascii="Arial" w:eastAsia="Batang" w:hAnsi="Arial" w:cs="Arial"/>
          <w:bCs/>
          <w:sz w:val="20"/>
          <w:szCs w:val="24"/>
        </w:rPr>
        <w:t>,</w:t>
      </w:r>
      <w:r w:rsidR="009F3E29" w:rsidRPr="00966864">
        <w:rPr>
          <w:rFonts w:ascii="Arial" w:eastAsia="Batang" w:hAnsi="Arial" w:cs="Arial"/>
          <w:bCs/>
          <w:sz w:val="20"/>
          <w:szCs w:val="24"/>
        </w:rPr>
        <w:t xml:space="preserve"> modified Medical Research Council. </w:t>
      </w:r>
    </w:p>
    <w:p w14:paraId="162C6867" w14:textId="77777777" w:rsidR="009F3E29" w:rsidRPr="00966864" w:rsidRDefault="009F3E29" w:rsidP="009F3E29">
      <w:pPr>
        <w:spacing w:line="276" w:lineRule="auto"/>
        <w:rPr>
          <w:rFonts w:ascii="Arial" w:eastAsia="Batang" w:hAnsi="Arial" w:cs="Arial"/>
          <w:b/>
          <w:bCs/>
          <w:color w:val="808080"/>
          <w:sz w:val="24"/>
          <w:szCs w:val="24"/>
        </w:rPr>
      </w:pPr>
      <w:r w:rsidRPr="00966864">
        <w:rPr>
          <w:rFonts w:ascii="Arial" w:eastAsia="Batang" w:hAnsi="Arial" w:cs="Arial"/>
          <w:bCs/>
          <w:szCs w:val="24"/>
        </w:rPr>
        <w:br w:type="page"/>
      </w:r>
    </w:p>
    <w:p w14:paraId="40ADF5FC" w14:textId="77777777" w:rsidR="009F3E29" w:rsidRPr="00966864" w:rsidRDefault="009F3E29" w:rsidP="009F3E29">
      <w:pPr>
        <w:shd w:val="clear" w:color="auto" w:fill="E7E6E6"/>
        <w:autoSpaceDE w:val="0"/>
        <w:autoSpaceDN w:val="0"/>
        <w:adjustRightInd w:val="0"/>
        <w:spacing w:before="360" w:after="0" w:line="276" w:lineRule="auto"/>
        <w:contextualSpacing/>
        <w:outlineLvl w:val="1"/>
        <w:rPr>
          <w:rFonts w:ascii="Arial" w:eastAsia="Batang" w:hAnsi="Arial" w:cs="Arial"/>
          <w:b/>
          <w:bCs/>
          <w:color w:val="808080"/>
          <w:sz w:val="24"/>
          <w:szCs w:val="24"/>
        </w:rPr>
      </w:pPr>
      <w:r w:rsidRPr="00966864">
        <w:rPr>
          <w:rFonts w:ascii="Arial" w:eastAsia="Batang" w:hAnsi="Arial" w:cs="Arial"/>
          <w:b/>
          <w:bCs/>
          <w:color w:val="808080"/>
          <w:sz w:val="24"/>
          <w:szCs w:val="24"/>
        </w:rPr>
        <w:lastRenderedPageBreak/>
        <w:t xml:space="preserve">Table S2. Values for fibrinogen regression equation – ITT population </w:t>
      </w:r>
    </w:p>
    <w:p w14:paraId="6CC291B8" w14:textId="77777777" w:rsidR="009F3E29" w:rsidRPr="00966864" w:rsidRDefault="009F3E29" w:rsidP="009F3E29">
      <w:pPr>
        <w:autoSpaceDE w:val="0"/>
        <w:autoSpaceDN w:val="0"/>
        <w:adjustRightInd w:val="0"/>
        <w:spacing w:before="120" w:after="120" w:line="276" w:lineRule="auto"/>
        <w:rPr>
          <w:rFonts w:ascii="Arial" w:eastAsia="Batang" w:hAnsi="Arial" w:cs="Arial"/>
          <w:bCs/>
          <w:szCs w:val="24"/>
        </w:rPr>
      </w:pPr>
      <w:r w:rsidRPr="00966864">
        <w:rPr>
          <w:rFonts w:ascii="Arial" w:eastAsia="Batang" w:hAnsi="Arial" w:cs="Arial"/>
          <w:bCs/>
          <w:szCs w:val="24"/>
        </w:rPr>
        <w:t xml:space="preserve">To predict baseline fibrinogen concentration, a linear model was developed from a </w:t>
      </w:r>
      <w:r w:rsidRPr="00966864">
        <w:rPr>
          <w:rFonts w:ascii="Arial" w:eastAsia="Batang" w:hAnsi="Arial" w:cs="Arial"/>
          <w:bCs/>
          <w:i/>
          <w:szCs w:val="24"/>
        </w:rPr>
        <w:t>post hoc</w:t>
      </w:r>
      <w:r w:rsidRPr="00966864">
        <w:rPr>
          <w:rFonts w:ascii="Arial" w:eastAsia="Batang" w:hAnsi="Arial" w:cs="Arial"/>
          <w:bCs/>
          <w:szCs w:val="24"/>
        </w:rPr>
        <w:t xml:space="preserve"> analysis of the ECLIPSE sample baseline data. The model was originally tested using all available concurrent GALAXY baseline variables, including baseline FEV</w:t>
      </w:r>
      <w:r w:rsidRPr="00966864">
        <w:rPr>
          <w:rFonts w:ascii="Arial" w:eastAsia="Batang" w:hAnsi="Arial" w:cs="Arial"/>
          <w:bCs/>
          <w:szCs w:val="24"/>
          <w:vertAlign w:val="subscript"/>
        </w:rPr>
        <w:t>1</w:t>
      </w:r>
      <w:r w:rsidRPr="00966864">
        <w:rPr>
          <w:rFonts w:ascii="Arial" w:eastAsia="Batang" w:hAnsi="Arial" w:cs="Arial"/>
          <w:bCs/>
          <w:szCs w:val="24"/>
        </w:rPr>
        <w:t xml:space="preserve"> in mL or FEV</w:t>
      </w:r>
      <w:r w:rsidRPr="00966864">
        <w:rPr>
          <w:rFonts w:ascii="Arial" w:eastAsia="Batang" w:hAnsi="Arial" w:cs="Arial"/>
          <w:bCs/>
          <w:szCs w:val="24"/>
          <w:vertAlign w:val="subscript"/>
        </w:rPr>
        <w:t>1</w:t>
      </w:r>
      <w:r w:rsidRPr="00966864">
        <w:rPr>
          <w:rFonts w:ascii="Arial" w:eastAsia="Batang" w:hAnsi="Arial" w:cs="Arial"/>
          <w:bCs/>
          <w:szCs w:val="24"/>
        </w:rPr>
        <w:t>% predicted. The equation based on the FEV</w:t>
      </w:r>
      <w:r w:rsidRPr="00966864">
        <w:rPr>
          <w:rFonts w:ascii="Arial" w:eastAsia="Batang" w:hAnsi="Arial" w:cs="Arial"/>
          <w:bCs/>
          <w:szCs w:val="24"/>
          <w:vertAlign w:val="subscript"/>
        </w:rPr>
        <w:t>1</w:t>
      </w:r>
      <w:r w:rsidRPr="00966864">
        <w:rPr>
          <w:rFonts w:ascii="Arial" w:eastAsia="Batang" w:hAnsi="Arial" w:cs="Arial"/>
          <w:bCs/>
          <w:szCs w:val="24"/>
        </w:rPr>
        <w:t xml:space="preserve"> volume estimate was selected as the better fitting model (greater value of r</w:t>
      </w:r>
      <w:r w:rsidRPr="00966864">
        <w:rPr>
          <w:rFonts w:ascii="Arial" w:eastAsia="Batang" w:hAnsi="Arial" w:cs="Arial"/>
          <w:bCs/>
          <w:szCs w:val="24"/>
          <w:vertAlign w:val="superscript"/>
        </w:rPr>
        <w:t>2</w:t>
      </w:r>
      <w:r w:rsidRPr="00966864">
        <w:rPr>
          <w:rFonts w:ascii="Arial" w:eastAsia="Batang" w:hAnsi="Arial" w:cs="Arial"/>
          <w:bCs/>
          <w:szCs w:val="24"/>
        </w:rPr>
        <w:t>), and baseline values that did not meet p&lt;0.05 in the first fitting were dropped from the final model. The final version of the fibrinogen prediction model is presented in Table S2 and shows the corresponding values used to estimate fibrinogen for the average patient from the IMPACT trial population.</w:t>
      </w:r>
    </w:p>
    <w:tbl>
      <w:tblPr>
        <w:tblW w:w="5000" w:type="pct"/>
        <w:tblLook w:val="0420" w:firstRow="1" w:lastRow="0" w:firstColumn="0" w:lastColumn="0" w:noHBand="0" w:noVBand="1"/>
      </w:tblPr>
      <w:tblGrid>
        <w:gridCol w:w="3990"/>
        <w:gridCol w:w="2638"/>
        <w:gridCol w:w="2614"/>
      </w:tblGrid>
      <w:tr w:rsidR="009F3E29" w:rsidRPr="00966864" w14:paraId="0CEC8EED" w14:textId="77777777" w:rsidTr="00F211A9">
        <w:tc>
          <w:tcPr>
            <w:tcW w:w="2159" w:type="pct"/>
            <w:tcBorders>
              <w:top w:val="single" w:sz="4" w:space="0" w:color="auto"/>
              <w:bottom w:val="double" w:sz="4" w:space="0" w:color="auto"/>
            </w:tcBorders>
            <w:shd w:val="clear" w:color="auto" w:fill="FFFFFF"/>
            <w:noWrap/>
            <w:hideMark/>
          </w:tcPr>
          <w:p w14:paraId="7F5D437D" w14:textId="77777777" w:rsidR="009F3E29" w:rsidRPr="00966864" w:rsidRDefault="009F3E29" w:rsidP="009F3E29">
            <w:pPr>
              <w:keepNext/>
              <w:spacing w:before="40" w:after="40" w:line="276" w:lineRule="auto"/>
              <w:jc w:val="both"/>
              <w:rPr>
                <w:rFonts w:ascii="Arial" w:eastAsia="Calibri" w:hAnsi="Arial" w:cs="Arial"/>
                <w:b/>
                <w:color w:val="000000"/>
                <w:sz w:val="20"/>
                <w:szCs w:val="26"/>
              </w:rPr>
            </w:pPr>
          </w:p>
        </w:tc>
        <w:tc>
          <w:tcPr>
            <w:tcW w:w="1426" w:type="pct"/>
            <w:tcBorders>
              <w:top w:val="single" w:sz="4" w:space="0" w:color="auto"/>
              <w:bottom w:val="double" w:sz="4" w:space="0" w:color="auto"/>
            </w:tcBorders>
            <w:shd w:val="clear" w:color="auto" w:fill="FFFFFF"/>
            <w:noWrap/>
            <w:vAlign w:val="center"/>
            <w:hideMark/>
          </w:tcPr>
          <w:p w14:paraId="37F31828" w14:textId="77777777" w:rsidR="009F3E29" w:rsidRPr="00966864" w:rsidRDefault="009F3E29" w:rsidP="009F3E29">
            <w:pPr>
              <w:keepNext/>
              <w:spacing w:before="40" w:after="40" w:line="276" w:lineRule="auto"/>
              <w:jc w:val="center"/>
              <w:rPr>
                <w:rFonts w:ascii="Arial" w:eastAsia="Calibri" w:hAnsi="Arial" w:cs="Arial"/>
                <w:b/>
                <w:color w:val="000000"/>
                <w:sz w:val="20"/>
                <w:szCs w:val="26"/>
              </w:rPr>
            </w:pPr>
            <w:r w:rsidRPr="00966864">
              <w:rPr>
                <w:rFonts w:ascii="Arial" w:eastAsia="Calibri" w:hAnsi="Arial" w:cs="Arial"/>
                <w:b/>
                <w:color w:val="000000"/>
                <w:sz w:val="20"/>
                <w:szCs w:val="26"/>
              </w:rPr>
              <w:t>Coefficient (β</w:t>
            </w:r>
            <w:r w:rsidRPr="00966864">
              <w:rPr>
                <w:rFonts w:ascii="Arial" w:eastAsia="Calibri" w:hAnsi="Arial" w:cs="Arial"/>
                <w:b/>
                <w:color w:val="000000"/>
                <w:sz w:val="20"/>
                <w:szCs w:val="26"/>
                <w:vertAlign w:val="subscript"/>
              </w:rPr>
              <w:t>i</w:t>
            </w:r>
            <w:r w:rsidRPr="00966864">
              <w:rPr>
                <w:rFonts w:ascii="Arial" w:eastAsia="Calibri" w:hAnsi="Arial" w:cs="Arial"/>
                <w:b/>
                <w:color w:val="000000"/>
                <w:sz w:val="20"/>
                <w:szCs w:val="26"/>
              </w:rPr>
              <w:t>)</w:t>
            </w:r>
          </w:p>
        </w:tc>
        <w:tc>
          <w:tcPr>
            <w:tcW w:w="1414" w:type="pct"/>
            <w:tcBorders>
              <w:top w:val="single" w:sz="4" w:space="0" w:color="auto"/>
              <w:bottom w:val="double" w:sz="4" w:space="0" w:color="auto"/>
            </w:tcBorders>
            <w:shd w:val="clear" w:color="auto" w:fill="FFFFFF"/>
            <w:noWrap/>
            <w:hideMark/>
          </w:tcPr>
          <w:p w14:paraId="03F29937" w14:textId="77777777" w:rsidR="009F3E29" w:rsidRPr="00966864" w:rsidRDefault="009F3E29" w:rsidP="009F3E29">
            <w:pPr>
              <w:keepNext/>
              <w:spacing w:before="40" w:after="40" w:line="276" w:lineRule="auto"/>
              <w:jc w:val="center"/>
              <w:rPr>
                <w:rFonts w:ascii="Arial" w:eastAsia="Calibri" w:hAnsi="Arial" w:cs="Arial"/>
                <w:b/>
                <w:color w:val="000000"/>
                <w:sz w:val="20"/>
                <w:szCs w:val="26"/>
              </w:rPr>
            </w:pPr>
            <w:r w:rsidRPr="00966864">
              <w:rPr>
                <w:rFonts w:ascii="Arial" w:eastAsia="Calibri" w:hAnsi="Arial" w:cs="Arial"/>
                <w:b/>
                <w:color w:val="000000"/>
                <w:sz w:val="20"/>
                <w:szCs w:val="26"/>
              </w:rPr>
              <w:t>Variable (x</w:t>
            </w:r>
            <w:r w:rsidRPr="00966864">
              <w:rPr>
                <w:rFonts w:ascii="Arial" w:eastAsia="Calibri" w:hAnsi="Arial" w:cs="Arial"/>
                <w:b/>
                <w:color w:val="000000"/>
                <w:sz w:val="20"/>
                <w:szCs w:val="26"/>
                <w:vertAlign w:val="subscript"/>
              </w:rPr>
              <w:t>i</w:t>
            </w:r>
            <w:r w:rsidRPr="00966864">
              <w:rPr>
                <w:rFonts w:ascii="Arial" w:eastAsia="Calibri" w:hAnsi="Arial" w:cs="Arial"/>
                <w:b/>
                <w:color w:val="000000"/>
                <w:sz w:val="20"/>
                <w:szCs w:val="26"/>
              </w:rPr>
              <w:t>) input for ITT</w:t>
            </w:r>
          </w:p>
        </w:tc>
      </w:tr>
      <w:tr w:rsidR="009F3E29" w:rsidRPr="00966864" w14:paraId="45A637EA" w14:textId="77777777" w:rsidTr="00F211A9">
        <w:tc>
          <w:tcPr>
            <w:tcW w:w="2159" w:type="pct"/>
            <w:tcBorders>
              <w:top w:val="double" w:sz="4" w:space="0" w:color="auto"/>
            </w:tcBorders>
            <w:shd w:val="clear" w:color="auto" w:fill="FFFFFF"/>
            <w:hideMark/>
          </w:tcPr>
          <w:p w14:paraId="6A33D98F"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β</w:t>
            </w:r>
            <w:r w:rsidRPr="00966864">
              <w:rPr>
                <w:rFonts w:ascii="Arial" w:eastAsia="Calibri" w:hAnsi="Arial" w:cs="Arial"/>
                <w:color w:val="000000"/>
                <w:sz w:val="20"/>
                <w:szCs w:val="21"/>
                <w:vertAlign w:val="subscript"/>
              </w:rPr>
              <w:t>0</w:t>
            </w:r>
          </w:p>
        </w:tc>
        <w:tc>
          <w:tcPr>
            <w:tcW w:w="1426" w:type="pct"/>
            <w:tcBorders>
              <w:top w:val="double" w:sz="4" w:space="0" w:color="auto"/>
            </w:tcBorders>
            <w:shd w:val="clear" w:color="auto" w:fill="FFFFFF"/>
            <w:noWrap/>
            <w:hideMark/>
          </w:tcPr>
          <w:p w14:paraId="622E3D61"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408.8547</w:t>
            </w:r>
          </w:p>
        </w:tc>
        <w:tc>
          <w:tcPr>
            <w:tcW w:w="1414" w:type="pct"/>
            <w:tcBorders>
              <w:top w:val="double" w:sz="4" w:space="0" w:color="auto"/>
            </w:tcBorders>
            <w:shd w:val="clear" w:color="auto" w:fill="FFFFFF"/>
            <w:noWrap/>
          </w:tcPr>
          <w:p w14:paraId="22F5AACD"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w:t>
            </w:r>
          </w:p>
        </w:tc>
      </w:tr>
      <w:tr w:rsidR="009F3E29" w:rsidRPr="00966864" w14:paraId="4AEC7B29" w14:textId="77777777" w:rsidTr="00F211A9">
        <w:tc>
          <w:tcPr>
            <w:tcW w:w="2159" w:type="pct"/>
            <w:shd w:val="clear" w:color="auto" w:fill="FFFFFF"/>
            <w:hideMark/>
          </w:tcPr>
          <w:p w14:paraId="14BBE3C0"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Age</w:t>
            </w:r>
          </w:p>
        </w:tc>
        <w:tc>
          <w:tcPr>
            <w:tcW w:w="1426" w:type="pct"/>
            <w:shd w:val="clear" w:color="auto" w:fill="FFFFFF"/>
            <w:noWrap/>
            <w:hideMark/>
          </w:tcPr>
          <w:p w14:paraId="071D0B21"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1.5589</w:t>
            </w:r>
          </w:p>
        </w:tc>
        <w:tc>
          <w:tcPr>
            <w:tcW w:w="1414" w:type="pct"/>
            <w:shd w:val="clear" w:color="auto" w:fill="FFFFFF"/>
            <w:noWrap/>
          </w:tcPr>
          <w:p w14:paraId="0040A452"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65.3</w:t>
            </w:r>
          </w:p>
        </w:tc>
      </w:tr>
      <w:tr w:rsidR="009F3E29" w:rsidRPr="00966864" w14:paraId="35E6402F" w14:textId="77777777" w:rsidTr="00F211A9">
        <w:tc>
          <w:tcPr>
            <w:tcW w:w="2159" w:type="pct"/>
            <w:shd w:val="clear" w:color="auto" w:fill="FFFFFF"/>
            <w:hideMark/>
          </w:tcPr>
          <w:p w14:paraId="6D3DB586"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FEV</w:t>
            </w:r>
            <w:r w:rsidRPr="00966864">
              <w:rPr>
                <w:rFonts w:ascii="Arial" w:eastAsia="Calibri" w:hAnsi="Arial" w:cs="Arial"/>
                <w:color w:val="000000"/>
                <w:sz w:val="20"/>
                <w:szCs w:val="21"/>
                <w:vertAlign w:val="subscript"/>
              </w:rPr>
              <w:t>1</w:t>
            </w:r>
            <w:r w:rsidRPr="00966864">
              <w:rPr>
                <w:rFonts w:ascii="Arial" w:eastAsia="Calibri" w:hAnsi="Arial" w:cs="Arial"/>
                <w:color w:val="000000"/>
                <w:sz w:val="20"/>
                <w:szCs w:val="21"/>
              </w:rPr>
              <w:t xml:space="preserve"> (volume, L)</w:t>
            </w:r>
          </w:p>
        </w:tc>
        <w:tc>
          <w:tcPr>
            <w:tcW w:w="1426" w:type="pct"/>
            <w:shd w:val="clear" w:color="auto" w:fill="FFFFFF"/>
            <w:noWrap/>
            <w:hideMark/>
          </w:tcPr>
          <w:p w14:paraId="7369D7E7"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−46.8247</w:t>
            </w:r>
          </w:p>
        </w:tc>
        <w:tc>
          <w:tcPr>
            <w:tcW w:w="1414" w:type="pct"/>
            <w:shd w:val="clear" w:color="auto" w:fill="FFFFFF"/>
            <w:noWrap/>
          </w:tcPr>
          <w:p w14:paraId="3E8CAD6F"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1.215</w:t>
            </w:r>
          </w:p>
        </w:tc>
      </w:tr>
      <w:tr w:rsidR="009F3E29" w:rsidRPr="00966864" w14:paraId="37F82CAB" w14:textId="77777777" w:rsidTr="00F211A9">
        <w:tc>
          <w:tcPr>
            <w:tcW w:w="2159" w:type="pct"/>
            <w:shd w:val="clear" w:color="auto" w:fill="FFFFFF"/>
            <w:hideMark/>
          </w:tcPr>
          <w:p w14:paraId="5D392224"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Smoking status (1 = current smoker)</w:t>
            </w:r>
          </w:p>
        </w:tc>
        <w:tc>
          <w:tcPr>
            <w:tcW w:w="1426" w:type="pct"/>
            <w:shd w:val="clear" w:color="auto" w:fill="FFFFFF"/>
            <w:noWrap/>
            <w:hideMark/>
          </w:tcPr>
          <w:p w14:paraId="73DF9B76"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11.0953</w:t>
            </w:r>
          </w:p>
        </w:tc>
        <w:tc>
          <w:tcPr>
            <w:tcW w:w="1414" w:type="pct"/>
            <w:shd w:val="clear" w:color="auto" w:fill="FFFFFF"/>
            <w:noWrap/>
          </w:tcPr>
          <w:p w14:paraId="645BFCA5"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35%</w:t>
            </w:r>
          </w:p>
        </w:tc>
      </w:tr>
      <w:tr w:rsidR="009F3E29" w:rsidRPr="00966864" w14:paraId="37C06C72" w14:textId="77777777" w:rsidTr="00F211A9">
        <w:tc>
          <w:tcPr>
            <w:tcW w:w="2159" w:type="pct"/>
            <w:shd w:val="clear" w:color="auto" w:fill="FFFFFF"/>
            <w:hideMark/>
          </w:tcPr>
          <w:p w14:paraId="46D67715"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Prior exacerbations (≥1 in previous year)</w:t>
            </w:r>
          </w:p>
        </w:tc>
        <w:tc>
          <w:tcPr>
            <w:tcW w:w="1426" w:type="pct"/>
            <w:shd w:val="clear" w:color="auto" w:fill="FFFFFF"/>
            <w:noWrap/>
            <w:hideMark/>
          </w:tcPr>
          <w:p w14:paraId="2CA34E1A"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14.6866</w:t>
            </w:r>
          </w:p>
        </w:tc>
        <w:tc>
          <w:tcPr>
            <w:tcW w:w="1414" w:type="pct"/>
            <w:shd w:val="clear" w:color="auto" w:fill="FFFFFF"/>
            <w:noWrap/>
          </w:tcPr>
          <w:p w14:paraId="0FF7FD63"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99.9%</w:t>
            </w:r>
          </w:p>
        </w:tc>
      </w:tr>
      <w:tr w:rsidR="009F3E29" w:rsidRPr="00966864" w14:paraId="1EDCC64E" w14:textId="77777777" w:rsidTr="00F211A9">
        <w:tc>
          <w:tcPr>
            <w:tcW w:w="2159" w:type="pct"/>
            <w:shd w:val="clear" w:color="auto" w:fill="FFFFFF"/>
            <w:hideMark/>
          </w:tcPr>
          <w:p w14:paraId="6C0D3511"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BMI category high (&gt;30)</w:t>
            </w:r>
          </w:p>
        </w:tc>
        <w:tc>
          <w:tcPr>
            <w:tcW w:w="1426" w:type="pct"/>
            <w:shd w:val="clear" w:color="auto" w:fill="FFFFFF"/>
            <w:noWrap/>
            <w:hideMark/>
          </w:tcPr>
          <w:p w14:paraId="51B9BD58"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37.6358</w:t>
            </w:r>
          </w:p>
        </w:tc>
        <w:tc>
          <w:tcPr>
            <w:tcW w:w="1414" w:type="pct"/>
            <w:shd w:val="clear" w:color="auto" w:fill="FFFFFF"/>
            <w:noWrap/>
          </w:tcPr>
          <w:p w14:paraId="5DA1AFA9"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25%</w:t>
            </w:r>
          </w:p>
        </w:tc>
      </w:tr>
      <w:tr w:rsidR="009F3E29" w:rsidRPr="00966864" w14:paraId="02498893" w14:textId="77777777" w:rsidTr="00F211A9">
        <w:tc>
          <w:tcPr>
            <w:tcW w:w="2159" w:type="pct"/>
            <w:tcBorders>
              <w:bottom w:val="dotted" w:sz="4" w:space="0" w:color="auto"/>
            </w:tcBorders>
            <w:shd w:val="clear" w:color="auto" w:fill="FFFFFF"/>
            <w:hideMark/>
          </w:tcPr>
          <w:p w14:paraId="16B064FF" w14:textId="77777777" w:rsidR="009F3E29" w:rsidRPr="00966864" w:rsidRDefault="009F3E29" w:rsidP="009F3E29">
            <w:pPr>
              <w:keepNext/>
              <w:spacing w:before="40" w:after="40" w:line="276" w:lineRule="auto"/>
              <w:jc w:val="both"/>
              <w:rPr>
                <w:rFonts w:ascii="Arial" w:eastAsia="Calibri" w:hAnsi="Arial" w:cs="Arial"/>
                <w:color w:val="000000"/>
                <w:sz w:val="20"/>
                <w:szCs w:val="21"/>
              </w:rPr>
            </w:pPr>
            <w:r w:rsidRPr="00966864">
              <w:rPr>
                <w:rFonts w:ascii="Arial" w:eastAsia="Calibri" w:hAnsi="Arial" w:cs="Arial"/>
                <w:color w:val="000000"/>
                <w:sz w:val="20"/>
                <w:szCs w:val="21"/>
              </w:rPr>
              <w:t>BMI category low (&lt;20)</w:t>
            </w:r>
          </w:p>
        </w:tc>
        <w:tc>
          <w:tcPr>
            <w:tcW w:w="1426" w:type="pct"/>
            <w:tcBorders>
              <w:bottom w:val="dotted" w:sz="4" w:space="0" w:color="auto"/>
            </w:tcBorders>
            <w:shd w:val="clear" w:color="auto" w:fill="FFFFFF"/>
            <w:noWrap/>
            <w:hideMark/>
          </w:tcPr>
          <w:p w14:paraId="081F4921"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−25.0056</w:t>
            </w:r>
          </w:p>
        </w:tc>
        <w:tc>
          <w:tcPr>
            <w:tcW w:w="1414" w:type="pct"/>
            <w:tcBorders>
              <w:bottom w:val="dotted" w:sz="4" w:space="0" w:color="auto"/>
            </w:tcBorders>
            <w:shd w:val="clear" w:color="auto" w:fill="FFFFFF"/>
            <w:noWrap/>
          </w:tcPr>
          <w:p w14:paraId="33453D32" w14:textId="77777777" w:rsidR="009F3E29" w:rsidRPr="00966864" w:rsidRDefault="009F3E29" w:rsidP="009F3E29">
            <w:pPr>
              <w:keepNext/>
              <w:spacing w:before="40" w:after="40" w:line="276" w:lineRule="auto"/>
              <w:jc w:val="center"/>
              <w:rPr>
                <w:rFonts w:ascii="Arial" w:eastAsia="Calibri" w:hAnsi="Arial" w:cs="Arial"/>
                <w:color w:val="000000"/>
                <w:sz w:val="20"/>
                <w:szCs w:val="21"/>
              </w:rPr>
            </w:pPr>
            <w:r w:rsidRPr="00966864">
              <w:rPr>
                <w:rFonts w:ascii="Arial" w:eastAsia="Calibri" w:hAnsi="Arial" w:cs="Arial"/>
                <w:color w:val="000000"/>
                <w:sz w:val="20"/>
                <w:szCs w:val="21"/>
              </w:rPr>
              <w:t>17%</w:t>
            </w:r>
          </w:p>
        </w:tc>
      </w:tr>
      <w:tr w:rsidR="009F3E29" w:rsidRPr="00966864" w14:paraId="7B544419" w14:textId="77777777" w:rsidTr="00F211A9">
        <w:tc>
          <w:tcPr>
            <w:tcW w:w="3586" w:type="pct"/>
            <w:gridSpan w:val="2"/>
            <w:tcBorders>
              <w:top w:val="dotted" w:sz="4" w:space="0" w:color="auto"/>
              <w:bottom w:val="single" w:sz="4" w:space="0" w:color="auto"/>
            </w:tcBorders>
            <w:shd w:val="clear" w:color="auto" w:fill="FFFFFF"/>
          </w:tcPr>
          <w:p w14:paraId="5A0927F9" w14:textId="77777777" w:rsidR="009F3E29" w:rsidRPr="00966864" w:rsidRDefault="009F3E29" w:rsidP="009F3E29">
            <w:pPr>
              <w:keepNext/>
              <w:spacing w:before="40" w:after="40" w:line="276" w:lineRule="auto"/>
              <w:jc w:val="center"/>
              <w:rPr>
                <w:rFonts w:ascii="Arial" w:eastAsia="Calibri" w:hAnsi="Arial" w:cs="Arial"/>
                <w:b/>
                <w:color w:val="000000"/>
                <w:sz w:val="20"/>
                <w:szCs w:val="21"/>
              </w:rPr>
            </w:pPr>
            <w:r w:rsidRPr="00966864">
              <w:rPr>
                <w:rFonts w:ascii="Arial" w:eastAsia="Calibri" w:hAnsi="Arial" w:cs="Arial"/>
                <w:b/>
                <w:color w:val="000000"/>
                <w:sz w:val="20"/>
                <w:szCs w:val="21"/>
              </w:rPr>
              <w:t>Estimated mean fibrinogen (</w:t>
            </w:r>
            <w:proofErr w:type="spellStart"/>
            <w:r w:rsidRPr="00966864">
              <w:rPr>
                <w:rFonts w:ascii="Arial" w:eastAsia="Calibri" w:hAnsi="Arial" w:cs="Arial"/>
                <w:b/>
                <w:color w:val="000000"/>
                <w:sz w:val="20"/>
                <w:szCs w:val="20"/>
              </w:rPr>
              <w:t>μg</w:t>
            </w:r>
            <w:proofErr w:type="spellEnd"/>
            <w:r w:rsidRPr="00966864">
              <w:rPr>
                <w:rFonts w:ascii="Arial" w:eastAsia="Calibri" w:hAnsi="Arial" w:cs="Arial"/>
                <w:b/>
                <w:color w:val="000000"/>
                <w:sz w:val="20"/>
                <w:szCs w:val="20"/>
              </w:rPr>
              <w:t>/dL)</w:t>
            </w:r>
          </w:p>
        </w:tc>
        <w:tc>
          <w:tcPr>
            <w:tcW w:w="1414" w:type="pct"/>
            <w:tcBorders>
              <w:top w:val="dotted" w:sz="4" w:space="0" w:color="auto"/>
              <w:bottom w:val="single" w:sz="4" w:space="0" w:color="auto"/>
            </w:tcBorders>
            <w:shd w:val="clear" w:color="auto" w:fill="FFFFFF"/>
            <w:noWrap/>
          </w:tcPr>
          <w:p w14:paraId="2C4F5A9F" w14:textId="77777777" w:rsidR="009F3E29" w:rsidRPr="00966864" w:rsidRDefault="009F3E29" w:rsidP="009F3E29">
            <w:pPr>
              <w:keepNext/>
              <w:spacing w:before="40" w:after="40" w:line="276" w:lineRule="auto"/>
              <w:jc w:val="center"/>
              <w:rPr>
                <w:rFonts w:ascii="Arial" w:eastAsia="Calibri" w:hAnsi="Arial" w:cs="Arial"/>
                <w:b/>
                <w:color w:val="000000"/>
                <w:sz w:val="20"/>
                <w:szCs w:val="21"/>
              </w:rPr>
            </w:pPr>
            <w:r w:rsidRPr="00966864">
              <w:rPr>
                <w:rFonts w:ascii="Arial" w:eastAsia="Calibri" w:hAnsi="Arial" w:cs="Arial"/>
                <w:b/>
                <w:color w:val="000000"/>
                <w:sz w:val="20"/>
                <w:szCs w:val="21"/>
              </w:rPr>
              <w:t>477.5</w:t>
            </w:r>
          </w:p>
        </w:tc>
      </w:tr>
    </w:tbl>
    <w:p w14:paraId="6AC57814" w14:textId="7F627B11" w:rsidR="009F3E29" w:rsidRPr="00966864" w:rsidRDefault="00F211A9" w:rsidP="009F3E29">
      <w:pPr>
        <w:autoSpaceDE w:val="0"/>
        <w:autoSpaceDN w:val="0"/>
        <w:adjustRightInd w:val="0"/>
        <w:spacing w:before="120" w:after="0" w:line="276" w:lineRule="auto"/>
        <w:rPr>
          <w:rFonts w:ascii="Arial" w:eastAsia="Batang" w:hAnsi="Arial" w:cs="Arial"/>
          <w:bCs/>
          <w:sz w:val="20"/>
          <w:szCs w:val="24"/>
        </w:rPr>
      </w:pPr>
      <w:r>
        <w:rPr>
          <w:rFonts w:cs="Arial"/>
          <w:b/>
          <w:szCs w:val="20"/>
        </w:rPr>
        <w:t>Abbreviations:</w:t>
      </w:r>
      <w:r>
        <w:rPr>
          <w:rFonts w:cs="Arial"/>
          <w:szCs w:val="20"/>
        </w:rPr>
        <w:t xml:space="preserve"> </w:t>
      </w:r>
      <w:r w:rsidR="00B87CB1">
        <w:rPr>
          <w:rFonts w:ascii="Arial" w:eastAsia="Batang" w:hAnsi="Arial" w:cs="Arial"/>
          <w:bCs/>
          <w:sz w:val="20"/>
          <w:szCs w:val="24"/>
        </w:rPr>
        <w:t xml:space="preserve">BMI, </w:t>
      </w:r>
      <w:r w:rsidR="009F3E29" w:rsidRPr="00966864">
        <w:rPr>
          <w:rFonts w:ascii="Arial" w:eastAsia="Batang" w:hAnsi="Arial" w:cs="Arial"/>
          <w:bCs/>
          <w:sz w:val="20"/>
          <w:szCs w:val="24"/>
        </w:rPr>
        <w:t>body mass index; FEV</w:t>
      </w:r>
      <w:r w:rsidR="009F3E29" w:rsidRPr="00966864">
        <w:rPr>
          <w:rFonts w:ascii="Arial" w:eastAsia="Batang" w:hAnsi="Arial" w:cs="Arial"/>
          <w:bCs/>
          <w:sz w:val="20"/>
          <w:szCs w:val="24"/>
          <w:vertAlign w:val="subscript"/>
        </w:rPr>
        <w:t>1</w:t>
      </w:r>
      <w:r w:rsidR="00B87CB1">
        <w:rPr>
          <w:rFonts w:ascii="Arial" w:eastAsia="Batang" w:hAnsi="Arial" w:cs="Arial"/>
          <w:bCs/>
          <w:sz w:val="20"/>
          <w:szCs w:val="24"/>
        </w:rPr>
        <w:t>,</w:t>
      </w:r>
      <w:r w:rsidR="009F3E29" w:rsidRPr="00966864">
        <w:rPr>
          <w:rFonts w:ascii="Arial" w:eastAsia="Batang" w:hAnsi="Arial" w:cs="Arial"/>
          <w:bCs/>
          <w:sz w:val="20"/>
          <w:szCs w:val="24"/>
        </w:rPr>
        <w:t xml:space="preserve"> forced expiratory volume </w:t>
      </w:r>
      <w:r w:rsidR="00B87CB1">
        <w:rPr>
          <w:rFonts w:ascii="Arial" w:eastAsia="Batang" w:hAnsi="Arial" w:cs="Arial"/>
          <w:bCs/>
          <w:sz w:val="20"/>
          <w:szCs w:val="24"/>
        </w:rPr>
        <w:t>in 1 s; ITT,</w:t>
      </w:r>
      <w:r w:rsidR="009F3E29" w:rsidRPr="00966864">
        <w:rPr>
          <w:rFonts w:ascii="Arial" w:eastAsia="Batang" w:hAnsi="Arial" w:cs="Arial"/>
          <w:bCs/>
          <w:sz w:val="20"/>
          <w:szCs w:val="24"/>
        </w:rPr>
        <w:t xml:space="preserve"> intent to treat.</w:t>
      </w:r>
    </w:p>
    <w:p w14:paraId="349C80FE" w14:textId="77777777" w:rsidR="009F3E29" w:rsidRPr="00966864" w:rsidRDefault="009F3E29" w:rsidP="009F3E29">
      <w:pPr>
        <w:spacing w:line="276" w:lineRule="auto"/>
        <w:rPr>
          <w:rFonts w:ascii="Arial" w:eastAsia="Batang" w:hAnsi="Arial" w:cs="Arial"/>
          <w:b/>
          <w:bCs/>
          <w:color w:val="808080"/>
          <w:sz w:val="24"/>
          <w:szCs w:val="24"/>
        </w:rPr>
      </w:pPr>
      <w:r w:rsidRPr="00966864">
        <w:rPr>
          <w:rFonts w:ascii="Arial" w:eastAsia="Batang" w:hAnsi="Arial" w:cs="Arial"/>
          <w:bCs/>
          <w:szCs w:val="24"/>
        </w:rPr>
        <w:br w:type="page"/>
      </w:r>
    </w:p>
    <w:p w14:paraId="730D4F23" w14:textId="77777777" w:rsidR="009F3E29" w:rsidRPr="00966864" w:rsidRDefault="009F3E29" w:rsidP="009F3E29">
      <w:pPr>
        <w:shd w:val="clear" w:color="auto" w:fill="E7E6E6"/>
        <w:autoSpaceDE w:val="0"/>
        <w:autoSpaceDN w:val="0"/>
        <w:adjustRightInd w:val="0"/>
        <w:spacing w:after="240" w:line="276" w:lineRule="auto"/>
        <w:contextualSpacing/>
        <w:outlineLvl w:val="1"/>
        <w:rPr>
          <w:rFonts w:ascii="Arial" w:eastAsia="Batang" w:hAnsi="Arial" w:cs="Arial"/>
          <w:b/>
          <w:bCs/>
          <w:color w:val="808080"/>
          <w:sz w:val="24"/>
          <w:szCs w:val="24"/>
        </w:rPr>
      </w:pPr>
      <w:r w:rsidRPr="00966864">
        <w:rPr>
          <w:rFonts w:ascii="Arial" w:eastAsia="Batang" w:hAnsi="Arial" w:cs="Arial"/>
          <w:b/>
          <w:bCs/>
          <w:color w:val="808080"/>
          <w:sz w:val="24"/>
          <w:szCs w:val="24"/>
        </w:rPr>
        <w:lastRenderedPageBreak/>
        <w:t>Table S3. Subsequent treatment costs after discontinuation of IMPACT treatment</w:t>
      </w:r>
    </w:p>
    <w:tbl>
      <w:tblPr>
        <w:tblStyle w:val="Icon"/>
        <w:tblW w:w="9080" w:type="dxa"/>
        <w:tblInd w:w="28" w:type="dxa"/>
        <w:tblLayout w:type="fixed"/>
        <w:tblLook w:val="0620" w:firstRow="1" w:lastRow="0" w:firstColumn="0" w:lastColumn="0" w:noHBand="1" w:noVBand="1"/>
      </w:tblPr>
      <w:tblGrid>
        <w:gridCol w:w="3028"/>
        <w:gridCol w:w="3027"/>
        <w:gridCol w:w="3025"/>
      </w:tblGrid>
      <w:tr w:rsidR="009F3E29" w:rsidRPr="00966864" w14:paraId="6E3507F0" w14:textId="77777777" w:rsidTr="009F3E29">
        <w:trPr>
          <w:cnfStyle w:val="100000000000" w:firstRow="1" w:lastRow="0" w:firstColumn="0" w:lastColumn="0" w:oddVBand="0" w:evenVBand="0" w:oddHBand="0" w:evenHBand="0" w:firstRowFirstColumn="0" w:firstRowLastColumn="0" w:lastRowFirstColumn="0" w:lastRowLastColumn="0"/>
          <w:trHeight w:val="739"/>
        </w:trPr>
        <w:tc>
          <w:tcPr>
            <w:tcW w:w="1667" w:type="pct"/>
            <w:shd w:val="clear" w:color="auto" w:fill="FFFFFF"/>
            <w:vAlign w:val="bottom"/>
            <w:hideMark/>
          </w:tcPr>
          <w:p w14:paraId="60A1DAC3" w14:textId="77777777" w:rsidR="009F3E29" w:rsidRPr="00966864" w:rsidRDefault="009F3E29" w:rsidP="009F3E29">
            <w:pPr>
              <w:keepNext/>
              <w:spacing w:before="40" w:after="40" w:line="240" w:lineRule="auto"/>
              <w:rPr>
                <w:rFonts w:ascii="Arial" w:eastAsia="Gungsuh" w:hAnsi="Arial" w:cs="Arial"/>
                <w:b/>
                <w:sz w:val="20"/>
                <w:szCs w:val="20"/>
              </w:rPr>
            </w:pPr>
            <w:r w:rsidRPr="00966864">
              <w:rPr>
                <w:rFonts w:ascii="Arial" w:eastAsia="Gungsuh" w:hAnsi="Arial" w:cs="Arial"/>
                <w:b/>
                <w:sz w:val="20"/>
                <w:szCs w:val="20"/>
              </w:rPr>
              <w:t>Treatment class</w:t>
            </w:r>
          </w:p>
        </w:tc>
        <w:tc>
          <w:tcPr>
            <w:tcW w:w="1667" w:type="pct"/>
            <w:shd w:val="clear" w:color="auto" w:fill="FFFFFF"/>
            <w:vAlign w:val="bottom"/>
            <w:hideMark/>
          </w:tcPr>
          <w:p w14:paraId="3C525E28" w14:textId="4D348B53" w:rsidR="009F3E29" w:rsidRPr="00966864" w:rsidRDefault="00CC3543" w:rsidP="009F3E29">
            <w:pPr>
              <w:keepNext/>
              <w:spacing w:before="40" w:after="40" w:line="240" w:lineRule="auto"/>
              <w:jc w:val="center"/>
              <w:rPr>
                <w:rFonts w:ascii="Arial" w:eastAsia="Gungsuh" w:hAnsi="Arial" w:cs="Arial"/>
                <w:b/>
                <w:sz w:val="20"/>
                <w:szCs w:val="20"/>
              </w:rPr>
            </w:pPr>
            <w:r>
              <w:rPr>
                <w:rFonts w:ascii="Arial" w:eastAsia="Gungsuh" w:hAnsi="Arial" w:cs="Arial"/>
                <w:b/>
                <w:sz w:val="20"/>
                <w:szCs w:val="20"/>
              </w:rPr>
              <w:t>Renormaliz</w:t>
            </w:r>
            <w:r w:rsidR="009F3E29" w:rsidRPr="00966864">
              <w:rPr>
                <w:rFonts w:ascii="Arial" w:eastAsia="Gungsuh" w:hAnsi="Arial" w:cs="Arial"/>
                <w:b/>
                <w:sz w:val="20"/>
                <w:szCs w:val="20"/>
              </w:rPr>
              <w:t>ed % of patients</w:t>
            </w:r>
          </w:p>
          <w:p w14:paraId="3EF2ECEA" w14:textId="77777777" w:rsidR="009F3E29" w:rsidRPr="00966864" w:rsidRDefault="009F3E29" w:rsidP="009F3E29">
            <w:pPr>
              <w:keepNext/>
              <w:spacing w:before="40" w:after="40" w:line="240" w:lineRule="auto"/>
              <w:jc w:val="center"/>
              <w:rPr>
                <w:rFonts w:ascii="Arial" w:eastAsia="Gungsuh" w:hAnsi="Arial" w:cs="Arial"/>
                <w:b/>
                <w:sz w:val="20"/>
                <w:szCs w:val="20"/>
              </w:rPr>
            </w:pPr>
            <w:r w:rsidRPr="00966864">
              <w:rPr>
                <w:rFonts w:ascii="Arial" w:eastAsia="Gungsuh" w:hAnsi="Arial" w:cs="Arial"/>
                <w:b/>
                <w:sz w:val="20"/>
                <w:szCs w:val="20"/>
              </w:rPr>
              <w:t>receiving treatment in IMPACT</w:t>
            </w:r>
          </w:p>
        </w:tc>
        <w:tc>
          <w:tcPr>
            <w:tcW w:w="1666" w:type="pct"/>
            <w:shd w:val="clear" w:color="auto" w:fill="FFFFFF"/>
            <w:vAlign w:val="bottom"/>
            <w:hideMark/>
          </w:tcPr>
          <w:p w14:paraId="08779252" w14:textId="515D7934" w:rsidR="009F3E29" w:rsidRPr="00966864" w:rsidRDefault="009F3E29" w:rsidP="009F3E29">
            <w:pPr>
              <w:keepNext/>
              <w:spacing w:before="40" w:after="40" w:line="240" w:lineRule="auto"/>
              <w:jc w:val="center"/>
              <w:rPr>
                <w:rFonts w:ascii="Arial" w:eastAsia="Gungsuh" w:hAnsi="Arial" w:cs="Arial"/>
                <w:b/>
                <w:sz w:val="20"/>
                <w:szCs w:val="20"/>
              </w:rPr>
            </w:pPr>
            <w:r w:rsidRPr="00966864">
              <w:rPr>
                <w:rFonts w:ascii="Arial" w:eastAsia="Gungsuh" w:hAnsi="Arial" w:cs="Arial"/>
                <w:b/>
                <w:sz w:val="20"/>
                <w:szCs w:val="20"/>
              </w:rPr>
              <w:t>Average cost weighted</w:t>
            </w:r>
            <w:r w:rsidR="00CC3543">
              <w:rPr>
                <w:rFonts w:ascii="Arial" w:eastAsia="Gungsuh" w:hAnsi="Arial" w:cs="Arial"/>
                <w:b/>
                <w:sz w:val="20"/>
                <w:szCs w:val="20"/>
              </w:rPr>
              <w:t xml:space="preserve"> by Canadian prescription utiliz</w:t>
            </w:r>
            <w:r w:rsidRPr="00966864">
              <w:rPr>
                <w:rFonts w:ascii="Arial" w:eastAsia="Gungsuh" w:hAnsi="Arial" w:cs="Arial"/>
                <w:b/>
                <w:sz w:val="20"/>
                <w:szCs w:val="20"/>
              </w:rPr>
              <w:t>ation in regimen class (based on IMS data)</w:t>
            </w:r>
          </w:p>
        </w:tc>
      </w:tr>
      <w:tr w:rsidR="009F3E29" w:rsidRPr="00966864" w14:paraId="03F9956E" w14:textId="77777777" w:rsidTr="009F3E29">
        <w:trPr>
          <w:trHeight w:val="241"/>
        </w:trPr>
        <w:tc>
          <w:tcPr>
            <w:tcW w:w="1667" w:type="pct"/>
            <w:tcBorders>
              <w:top w:val="single" w:sz="2" w:space="0" w:color="000000"/>
            </w:tcBorders>
            <w:hideMark/>
          </w:tcPr>
          <w:p w14:paraId="037E6C37" w14:textId="77777777" w:rsidR="009F3E29" w:rsidRPr="00966864" w:rsidRDefault="009F3E29" w:rsidP="009F3E29">
            <w:pPr>
              <w:keepNext/>
              <w:spacing w:before="40" w:after="40" w:line="240" w:lineRule="auto"/>
              <w:jc w:val="both"/>
              <w:rPr>
                <w:rFonts w:ascii="Arial" w:eastAsia="Gungsuh" w:hAnsi="Arial" w:cs="Arial"/>
                <w:sz w:val="20"/>
                <w:szCs w:val="20"/>
              </w:rPr>
            </w:pPr>
            <w:r w:rsidRPr="00966864">
              <w:rPr>
                <w:rFonts w:ascii="Arial" w:eastAsia="Gungsuh" w:hAnsi="Arial" w:cs="Arial"/>
                <w:sz w:val="20"/>
                <w:szCs w:val="20"/>
              </w:rPr>
              <w:t>ICS/LAMA/LABA</w:t>
            </w:r>
          </w:p>
        </w:tc>
        <w:tc>
          <w:tcPr>
            <w:tcW w:w="1667" w:type="pct"/>
            <w:tcBorders>
              <w:top w:val="single" w:sz="2" w:space="0" w:color="000000"/>
            </w:tcBorders>
            <w:hideMark/>
          </w:tcPr>
          <w:p w14:paraId="240A2E5B"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57.9%</w:t>
            </w:r>
          </w:p>
        </w:tc>
        <w:tc>
          <w:tcPr>
            <w:tcW w:w="1666" w:type="pct"/>
            <w:tcBorders>
              <w:top w:val="single" w:sz="2" w:space="0" w:color="000000"/>
            </w:tcBorders>
            <w:hideMark/>
          </w:tcPr>
          <w:p w14:paraId="35A131A0"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C$5.2527</w:t>
            </w:r>
          </w:p>
        </w:tc>
      </w:tr>
      <w:tr w:rsidR="009F3E29" w:rsidRPr="00966864" w14:paraId="14828A87" w14:textId="77777777" w:rsidTr="00980A85">
        <w:trPr>
          <w:trHeight w:val="221"/>
        </w:trPr>
        <w:tc>
          <w:tcPr>
            <w:tcW w:w="1667" w:type="pct"/>
            <w:hideMark/>
          </w:tcPr>
          <w:p w14:paraId="18E64952" w14:textId="77777777" w:rsidR="009F3E29" w:rsidRPr="00966864" w:rsidRDefault="009F3E29" w:rsidP="009F3E29">
            <w:pPr>
              <w:keepNext/>
              <w:spacing w:before="40" w:after="40" w:line="240" w:lineRule="auto"/>
              <w:jc w:val="both"/>
              <w:rPr>
                <w:rFonts w:ascii="Arial" w:eastAsia="Gungsuh" w:hAnsi="Arial" w:cs="Arial"/>
                <w:sz w:val="20"/>
                <w:szCs w:val="20"/>
              </w:rPr>
            </w:pPr>
            <w:r w:rsidRPr="00966864">
              <w:rPr>
                <w:rFonts w:ascii="Arial" w:eastAsia="Gungsuh" w:hAnsi="Arial" w:cs="Arial"/>
                <w:sz w:val="20"/>
                <w:szCs w:val="20"/>
              </w:rPr>
              <w:t>ICS/LABA</w:t>
            </w:r>
          </w:p>
        </w:tc>
        <w:tc>
          <w:tcPr>
            <w:tcW w:w="1667" w:type="pct"/>
            <w:hideMark/>
          </w:tcPr>
          <w:p w14:paraId="559796A5"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25.1%</w:t>
            </w:r>
          </w:p>
        </w:tc>
        <w:tc>
          <w:tcPr>
            <w:tcW w:w="1666" w:type="pct"/>
            <w:hideMark/>
          </w:tcPr>
          <w:p w14:paraId="337B1933"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C$3.5116</w:t>
            </w:r>
          </w:p>
        </w:tc>
      </w:tr>
      <w:tr w:rsidR="009F3E29" w:rsidRPr="00966864" w14:paraId="44D90AC5" w14:textId="77777777" w:rsidTr="00980A85">
        <w:trPr>
          <w:trHeight w:val="197"/>
        </w:trPr>
        <w:tc>
          <w:tcPr>
            <w:tcW w:w="1667" w:type="pct"/>
            <w:hideMark/>
          </w:tcPr>
          <w:p w14:paraId="6F091E14" w14:textId="77777777" w:rsidR="009F3E29" w:rsidRPr="00966864" w:rsidRDefault="009F3E29" w:rsidP="009F3E29">
            <w:pPr>
              <w:keepNext/>
              <w:spacing w:before="40" w:after="40" w:line="240" w:lineRule="auto"/>
              <w:jc w:val="both"/>
              <w:rPr>
                <w:rFonts w:ascii="Arial" w:eastAsia="Gungsuh" w:hAnsi="Arial" w:cs="Arial"/>
                <w:sz w:val="20"/>
                <w:szCs w:val="20"/>
              </w:rPr>
            </w:pPr>
            <w:r w:rsidRPr="00966864">
              <w:rPr>
                <w:rFonts w:ascii="Arial" w:eastAsia="Gungsuh" w:hAnsi="Arial" w:cs="Arial"/>
                <w:sz w:val="20"/>
                <w:szCs w:val="20"/>
              </w:rPr>
              <w:t>LAMA/LABA</w:t>
            </w:r>
          </w:p>
        </w:tc>
        <w:tc>
          <w:tcPr>
            <w:tcW w:w="1667" w:type="pct"/>
            <w:hideMark/>
          </w:tcPr>
          <w:p w14:paraId="4BD3D894"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10.3%</w:t>
            </w:r>
          </w:p>
        </w:tc>
        <w:tc>
          <w:tcPr>
            <w:tcW w:w="1666" w:type="pct"/>
            <w:hideMark/>
          </w:tcPr>
          <w:p w14:paraId="19289496"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C$2.4717</w:t>
            </w:r>
          </w:p>
        </w:tc>
      </w:tr>
      <w:tr w:rsidR="009F3E29" w:rsidRPr="00966864" w14:paraId="2BC3194E" w14:textId="77777777" w:rsidTr="00980A85">
        <w:trPr>
          <w:trHeight w:val="329"/>
        </w:trPr>
        <w:tc>
          <w:tcPr>
            <w:tcW w:w="1667" w:type="pct"/>
            <w:hideMark/>
          </w:tcPr>
          <w:p w14:paraId="557EFDF5" w14:textId="77777777" w:rsidR="009F3E29" w:rsidRPr="00966864" w:rsidRDefault="009F3E29" w:rsidP="009F3E29">
            <w:pPr>
              <w:keepNext/>
              <w:spacing w:before="40" w:after="40" w:line="240" w:lineRule="auto"/>
              <w:jc w:val="both"/>
              <w:rPr>
                <w:rFonts w:ascii="Arial" w:eastAsia="Gungsuh" w:hAnsi="Arial" w:cs="Arial"/>
                <w:sz w:val="20"/>
                <w:szCs w:val="20"/>
              </w:rPr>
            </w:pPr>
            <w:r w:rsidRPr="00966864">
              <w:rPr>
                <w:rFonts w:ascii="Arial" w:eastAsia="Gungsuh" w:hAnsi="Arial" w:cs="Arial"/>
                <w:sz w:val="20"/>
                <w:szCs w:val="20"/>
              </w:rPr>
              <w:t>LAMA</w:t>
            </w:r>
          </w:p>
        </w:tc>
        <w:tc>
          <w:tcPr>
            <w:tcW w:w="1667" w:type="pct"/>
            <w:hideMark/>
          </w:tcPr>
          <w:p w14:paraId="03E18A68"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6.7%</w:t>
            </w:r>
          </w:p>
        </w:tc>
        <w:tc>
          <w:tcPr>
            <w:tcW w:w="1666" w:type="pct"/>
            <w:hideMark/>
          </w:tcPr>
          <w:p w14:paraId="7E87688E"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C$1.7317</w:t>
            </w:r>
          </w:p>
        </w:tc>
      </w:tr>
      <w:tr w:rsidR="009F3E29" w:rsidRPr="00966864" w14:paraId="7497B09E" w14:textId="77777777" w:rsidTr="00980A85">
        <w:trPr>
          <w:trHeight w:val="277"/>
        </w:trPr>
        <w:tc>
          <w:tcPr>
            <w:tcW w:w="1667" w:type="pct"/>
          </w:tcPr>
          <w:p w14:paraId="76AE99C7" w14:textId="77777777" w:rsidR="009F3E29" w:rsidRPr="00966864" w:rsidRDefault="009F3E29" w:rsidP="009F3E29">
            <w:pPr>
              <w:keepNext/>
              <w:spacing w:before="40" w:after="40" w:line="240" w:lineRule="auto"/>
              <w:jc w:val="both"/>
              <w:rPr>
                <w:rFonts w:ascii="Arial" w:eastAsia="Gungsuh" w:hAnsi="Arial" w:cs="Arial"/>
                <w:sz w:val="20"/>
                <w:szCs w:val="20"/>
              </w:rPr>
            </w:pPr>
            <w:r w:rsidRPr="00966864">
              <w:rPr>
                <w:rFonts w:ascii="Arial" w:eastAsia="Gungsuh" w:hAnsi="Arial" w:cs="Arial"/>
                <w:sz w:val="20"/>
                <w:szCs w:val="20"/>
              </w:rPr>
              <w:t>Average weighted cost</w:t>
            </w:r>
          </w:p>
        </w:tc>
        <w:tc>
          <w:tcPr>
            <w:tcW w:w="1667" w:type="pct"/>
          </w:tcPr>
          <w:p w14:paraId="234E5C55"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100%</w:t>
            </w:r>
          </w:p>
        </w:tc>
        <w:tc>
          <w:tcPr>
            <w:tcW w:w="1666" w:type="pct"/>
          </w:tcPr>
          <w:p w14:paraId="1038F83B" w14:textId="77777777" w:rsidR="009F3E29" w:rsidRPr="00966864" w:rsidRDefault="009F3E29" w:rsidP="009F3E29">
            <w:pPr>
              <w:keepNext/>
              <w:spacing w:before="40" w:after="40" w:line="240" w:lineRule="auto"/>
              <w:jc w:val="center"/>
              <w:rPr>
                <w:rFonts w:ascii="Arial" w:eastAsia="Gungsuh" w:hAnsi="Arial" w:cs="Arial"/>
                <w:sz w:val="20"/>
                <w:szCs w:val="20"/>
              </w:rPr>
            </w:pPr>
            <w:r w:rsidRPr="00966864">
              <w:rPr>
                <w:rFonts w:ascii="Arial" w:eastAsia="Gungsuh" w:hAnsi="Arial" w:cs="Arial"/>
                <w:sz w:val="20"/>
                <w:szCs w:val="20"/>
              </w:rPr>
              <w:t>C$4.2944</w:t>
            </w:r>
          </w:p>
        </w:tc>
      </w:tr>
    </w:tbl>
    <w:p w14:paraId="7A5F9EA6" w14:textId="23D5D204" w:rsidR="009F3E29" w:rsidRPr="00966864" w:rsidRDefault="00CC3543" w:rsidP="009F3E29">
      <w:pPr>
        <w:autoSpaceDE w:val="0"/>
        <w:autoSpaceDN w:val="0"/>
        <w:adjustRightInd w:val="0"/>
        <w:spacing w:before="120" w:after="0" w:line="276" w:lineRule="auto"/>
        <w:rPr>
          <w:rFonts w:ascii="Arial" w:eastAsia="Batang" w:hAnsi="Arial" w:cs="Arial"/>
          <w:bCs/>
          <w:sz w:val="20"/>
          <w:szCs w:val="24"/>
        </w:rPr>
      </w:pPr>
      <w:r>
        <w:rPr>
          <w:rFonts w:ascii="Arial" w:eastAsia="Batang" w:hAnsi="Arial" w:cs="Arial"/>
          <w:bCs/>
          <w:sz w:val="20"/>
          <w:szCs w:val="24"/>
        </w:rPr>
        <w:t>Canadian prescription utiliz</w:t>
      </w:r>
      <w:r w:rsidR="009F3E29" w:rsidRPr="00966864">
        <w:rPr>
          <w:rFonts w:ascii="Arial" w:eastAsia="Batang" w:hAnsi="Arial" w:cs="Arial"/>
          <w:bCs/>
          <w:sz w:val="20"/>
          <w:szCs w:val="24"/>
        </w:rPr>
        <w:t xml:space="preserve">ation </w:t>
      </w:r>
      <w:r w:rsidR="00966864">
        <w:rPr>
          <w:rFonts w:ascii="Arial" w:eastAsia="Batang" w:hAnsi="Arial" w:cs="Arial"/>
          <w:bCs/>
          <w:sz w:val="20"/>
          <w:szCs w:val="24"/>
        </w:rPr>
        <w:t>data were obtained from IMS</w:t>
      </w:r>
      <w:r w:rsidR="009F3E29" w:rsidRPr="00966864">
        <w:rPr>
          <w:rFonts w:ascii="Arial" w:eastAsia="Batang" w:hAnsi="Arial" w:cs="Arial"/>
          <w:bCs/>
          <w:sz w:val="20"/>
          <w:szCs w:val="24"/>
        </w:rPr>
        <w:t>.</w:t>
      </w:r>
      <w:r w:rsidR="00966864" w:rsidRPr="00966864">
        <w:rPr>
          <w:rFonts w:ascii="Arial" w:eastAsia="Batang" w:hAnsi="Arial" w:cs="Arial"/>
          <w:bCs/>
          <w:sz w:val="20"/>
          <w:szCs w:val="24"/>
          <w:vertAlign w:val="superscript"/>
        </w:rPr>
        <w:t>20</w:t>
      </w:r>
    </w:p>
    <w:p w14:paraId="41562CE2" w14:textId="7335A9CC" w:rsidR="009F3E29" w:rsidRPr="00966864" w:rsidRDefault="00F211A9" w:rsidP="009F3E29">
      <w:pPr>
        <w:autoSpaceDE w:val="0"/>
        <w:autoSpaceDN w:val="0"/>
        <w:adjustRightInd w:val="0"/>
        <w:spacing w:before="120" w:after="0" w:line="276" w:lineRule="auto"/>
        <w:rPr>
          <w:rFonts w:ascii="Arial" w:eastAsia="Batang" w:hAnsi="Arial" w:cs="Arial"/>
          <w:bCs/>
          <w:sz w:val="20"/>
          <w:szCs w:val="24"/>
        </w:rPr>
      </w:pPr>
      <w:r>
        <w:rPr>
          <w:rFonts w:cs="Arial"/>
          <w:b/>
          <w:szCs w:val="20"/>
        </w:rPr>
        <w:t>Abbreviations:</w:t>
      </w:r>
      <w:r>
        <w:rPr>
          <w:rFonts w:cs="Arial"/>
          <w:szCs w:val="20"/>
        </w:rPr>
        <w:t xml:space="preserve"> </w:t>
      </w:r>
      <w:r w:rsidR="00B87CB1">
        <w:rPr>
          <w:rFonts w:ascii="Arial" w:eastAsia="Batang" w:hAnsi="Arial" w:cs="Arial"/>
          <w:bCs/>
          <w:sz w:val="20"/>
          <w:szCs w:val="24"/>
        </w:rPr>
        <w:t>C$,</w:t>
      </w:r>
      <w:r w:rsidR="009F3E29" w:rsidRPr="00966864">
        <w:rPr>
          <w:rFonts w:ascii="Arial" w:eastAsia="Batang" w:hAnsi="Arial" w:cs="Arial"/>
          <w:bCs/>
          <w:sz w:val="20"/>
          <w:szCs w:val="24"/>
        </w:rPr>
        <w:t xml:space="preserve"> Canadian dollars; ICS, inhaled corticosteroid; LABA, long-acting β</w:t>
      </w:r>
      <w:r w:rsidR="009F3E29" w:rsidRPr="00966864">
        <w:rPr>
          <w:rFonts w:ascii="Arial" w:eastAsia="Batang" w:hAnsi="Arial" w:cs="Arial"/>
          <w:bCs/>
          <w:sz w:val="20"/>
          <w:szCs w:val="24"/>
          <w:vertAlign w:val="subscript"/>
        </w:rPr>
        <w:t>2</w:t>
      </w:r>
      <w:r w:rsidR="009F3E29" w:rsidRPr="00966864">
        <w:rPr>
          <w:rFonts w:ascii="Arial" w:eastAsia="Batang" w:hAnsi="Arial" w:cs="Arial"/>
          <w:bCs/>
          <w:sz w:val="20"/>
          <w:szCs w:val="24"/>
        </w:rPr>
        <w:t>-agonist; LAMA, long-acting muscarinic antagonist.</w:t>
      </w:r>
      <w:r w:rsidR="009F3E29" w:rsidRPr="00966864">
        <w:rPr>
          <w:rFonts w:ascii="Arial" w:eastAsia="Batang" w:hAnsi="Arial" w:cs="Arial"/>
          <w:bCs/>
          <w:sz w:val="20"/>
          <w:szCs w:val="24"/>
        </w:rPr>
        <w:br/>
      </w:r>
    </w:p>
    <w:p w14:paraId="2204A734" w14:textId="77777777" w:rsidR="009F3E29" w:rsidRPr="00966864" w:rsidRDefault="009F3E29" w:rsidP="009F3E29">
      <w:pPr>
        <w:autoSpaceDE w:val="0"/>
        <w:autoSpaceDN w:val="0"/>
        <w:adjustRightInd w:val="0"/>
        <w:spacing w:before="120" w:after="0" w:line="276" w:lineRule="auto"/>
        <w:rPr>
          <w:rFonts w:ascii="Arial" w:eastAsia="Batang" w:hAnsi="Arial" w:cs="Arial"/>
          <w:bCs/>
          <w:sz w:val="20"/>
          <w:szCs w:val="24"/>
        </w:rPr>
        <w:sectPr w:rsidR="009F3E29" w:rsidRPr="00966864" w:rsidSect="007466B1">
          <w:pgSz w:w="11906" w:h="16838"/>
          <w:pgMar w:top="1440" w:right="1440" w:bottom="851" w:left="1440" w:header="709" w:footer="709" w:gutter="0"/>
          <w:cols w:space="708"/>
          <w:docGrid w:linePitch="360"/>
        </w:sectPr>
      </w:pPr>
    </w:p>
    <w:p w14:paraId="278F4C36" w14:textId="77777777" w:rsidR="009F3E29" w:rsidRPr="00966864" w:rsidRDefault="009F3E29" w:rsidP="009F3E29">
      <w:pPr>
        <w:shd w:val="clear" w:color="auto" w:fill="E7E6E6"/>
        <w:autoSpaceDE w:val="0"/>
        <w:autoSpaceDN w:val="0"/>
        <w:adjustRightInd w:val="0"/>
        <w:spacing w:after="240" w:line="276" w:lineRule="auto"/>
        <w:contextualSpacing/>
        <w:outlineLvl w:val="1"/>
        <w:rPr>
          <w:rFonts w:ascii="Arial" w:eastAsia="Batang" w:hAnsi="Arial" w:cs="Arial"/>
          <w:b/>
          <w:bCs/>
          <w:color w:val="808080"/>
          <w:sz w:val="24"/>
          <w:szCs w:val="24"/>
        </w:rPr>
      </w:pPr>
      <w:r w:rsidRPr="00966864">
        <w:rPr>
          <w:rFonts w:ascii="Arial" w:eastAsia="Batang" w:hAnsi="Arial" w:cs="Arial"/>
          <w:b/>
          <w:bCs/>
          <w:color w:val="808080"/>
          <w:sz w:val="24"/>
          <w:szCs w:val="24"/>
        </w:rPr>
        <w:lastRenderedPageBreak/>
        <w:t>Table S4. Sensitivity and scenario analyses: incremental outcomes for FF/UMEC/VI versus FF/VI</w:t>
      </w:r>
    </w:p>
    <w:tbl>
      <w:tblPr>
        <w:tblStyle w:val="Icon"/>
        <w:tblW w:w="5000" w:type="pct"/>
        <w:tblLayout w:type="fixed"/>
        <w:tblLook w:val="0620" w:firstRow="1" w:lastRow="0" w:firstColumn="0" w:lastColumn="0" w:noHBand="1" w:noVBand="1"/>
      </w:tblPr>
      <w:tblGrid>
        <w:gridCol w:w="2968"/>
        <w:gridCol w:w="1014"/>
        <w:gridCol w:w="1172"/>
        <w:gridCol w:w="1172"/>
        <w:gridCol w:w="1172"/>
        <w:gridCol w:w="1171"/>
        <w:gridCol w:w="1171"/>
        <w:gridCol w:w="1171"/>
        <w:gridCol w:w="1171"/>
        <w:gridCol w:w="1171"/>
        <w:gridCol w:w="1250"/>
      </w:tblGrid>
      <w:tr w:rsidR="009F3E29" w:rsidRPr="00966864" w14:paraId="1E668089" w14:textId="77777777" w:rsidTr="00F211A9">
        <w:trPr>
          <w:cnfStyle w:val="100000000000" w:firstRow="1" w:lastRow="0" w:firstColumn="0" w:lastColumn="0" w:oddVBand="0" w:evenVBand="0" w:oddHBand="0" w:evenHBand="0" w:firstRowFirstColumn="0" w:firstRowLastColumn="0" w:lastRowFirstColumn="0" w:lastRowLastColumn="0"/>
        </w:trPr>
        <w:tc>
          <w:tcPr>
            <w:tcW w:w="1016" w:type="pct"/>
            <w:shd w:val="clear" w:color="auto" w:fill="FFFFFF"/>
            <w:noWrap/>
            <w:hideMark/>
          </w:tcPr>
          <w:p w14:paraId="3F6B70AF"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347" w:type="pct"/>
            <w:shd w:val="clear" w:color="auto" w:fill="FFFFFF"/>
            <w:noWrap/>
            <w:hideMark/>
          </w:tcPr>
          <w:p w14:paraId="17CEC4D7"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
                <w:bCs/>
                <w:sz w:val="16"/>
                <w:szCs w:val="16"/>
                <w:lang w:eastAsia="en-GB"/>
              </w:rPr>
              <w:t>Input value </w:t>
            </w:r>
          </w:p>
        </w:tc>
        <w:tc>
          <w:tcPr>
            <w:tcW w:w="802" w:type="pct"/>
            <w:gridSpan w:val="2"/>
            <w:shd w:val="clear" w:color="auto" w:fill="FFFFFF"/>
            <w:noWrap/>
            <w:hideMark/>
          </w:tcPr>
          <w:p w14:paraId="726228B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LYs</w:t>
            </w:r>
          </w:p>
        </w:tc>
        <w:tc>
          <w:tcPr>
            <w:tcW w:w="802" w:type="pct"/>
            <w:gridSpan w:val="2"/>
            <w:shd w:val="clear" w:color="auto" w:fill="FFFFFF"/>
            <w:noWrap/>
            <w:hideMark/>
          </w:tcPr>
          <w:p w14:paraId="3AC1190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QALYs</w:t>
            </w:r>
          </w:p>
        </w:tc>
        <w:tc>
          <w:tcPr>
            <w:tcW w:w="802" w:type="pct"/>
            <w:gridSpan w:val="2"/>
            <w:shd w:val="clear" w:color="auto" w:fill="FFFFFF"/>
            <w:noWrap/>
            <w:hideMark/>
          </w:tcPr>
          <w:p w14:paraId="1CE9D08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Costs</w:t>
            </w:r>
          </w:p>
        </w:tc>
        <w:tc>
          <w:tcPr>
            <w:tcW w:w="802" w:type="pct"/>
            <w:gridSpan w:val="2"/>
            <w:shd w:val="clear" w:color="auto" w:fill="FFFFFF"/>
            <w:noWrap/>
            <w:hideMark/>
          </w:tcPr>
          <w:p w14:paraId="50F17A3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ICER/QALY gained</w:t>
            </w:r>
          </w:p>
        </w:tc>
        <w:tc>
          <w:tcPr>
            <w:tcW w:w="428" w:type="pct"/>
            <w:shd w:val="clear" w:color="auto" w:fill="FFFFFF"/>
            <w:noWrap/>
            <w:hideMark/>
          </w:tcPr>
          <w:p w14:paraId="5AEBAD5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Change from base case, %</w:t>
            </w:r>
          </w:p>
        </w:tc>
      </w:tr>
      <w:tr w:rsidR="009F3E29" w:rsidRPr="00966864" w14:paraId="19B46540" w14:textId="77777777" w:rsidTr="00F211A9">
        <w:tc>
          <w:tcPr>
            <w:tcW w:w="1016" w:type="pct"/>
            <w:tcBorders>
              <w:top w:val="single" w:sz="4" w:space="0" w:color="auto"/>
              <w:bottom w:val="single" w:sz="4" w:space="0" w:color="auto"/>
            </w:tcBorders>
            <w:noWrap/>
          </w:tcPr>
          <w:p w14:paraId="5D5DC0A3"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347" w:type="pct"/>
            <w:tcBorders>
              <w:top w:val="single" w:sz="4" w:space="0" w:color="auto"/>
              <w:bottom w:val="single" w:sz="4" w:space="0" w:color="auto"/>
            </w:tcBorders>
            <w:noWrap/>
          </w:tcPr>
          <w:p w14:paraId="70B4283F" w14:textId="77777777" w:rsidR="009F3E29" w:rsidRPr="00966864" w:rsidRDefault="009F3E29" w:rsidP="009F3E29">
            <w:pPr>
              <w:spacing w:before="30" w:after="30" w:line="240" w:lineRule="auto"/>
              <w:rPr>
                <w:rFonts w:ascii="Arial" w:eastAsia="Calibri" w:hAnsi="Arial" w:cs="Arial"/>
                <w:b/>
                <w:bCs/>
                <w:sz w:val="16"/>
                <w:szCs w:val="16"/>
                <w:lang w:eastAsia="en-GB"/>
              </w:rPr>
            </w:pPr>
            <w:r w:rsidRPr="00966864">
              <w:rPr>
                <w:rFonts w:ascii="Arial" w:eastAsia="Calibri" w:hAnsi="Arial" w:cs="Arial"/>
                <w:b/>
                <w:bCs/>
                <w:sz w:val="16"/>
                <w:szCs w:val="16"/>
                <w:lang w:eastAsia="en-GB"/>
              </w:rPr>
              <w:t>SA value</w:t>
            </w:r>
          </w:p>
        </w:tc>
        <w:tc>
          <w:tcPr>
            <w:tcW w:w="802" w:type="pct"/>
            <w:gridSpan w:val="2"/>
            <w:tcBorders>
              <w:top w:val="single" w:sz="4" w:space="0" w:color="auto"/>
              <w:bottom w:val="single" w:sz="4" w:space="0" w:color="auto"/>
            </w:tcBorders>
            <w:noWrap/>
          </w:tcPr>
          <w:p w14:paraId="4A78DC7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PA mean</w:t>
            </w:r>
          </w:p>
          <w:p w14:paraId="19AEAA8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(95% CI)</w:t>
            </w:r>
          </w:p>
        </w:tc>
        <w:tc>
          <w:tcPr>
            <w:tcW w:w="802" w:type="pct"/>
            <w:gridSpan w:val="2"/>
            <w:tcBorders>
              <w:top w:val="single" w:sz="4" w:space="0" w:color="auto"/>
              <w:bottom w:val="single" w:sz="4" w:space="0" w:color="auto"/>
            </w:tcBorders>
            <w:noWrap/>
          </w:tcPr>
          <w:p w14:paraId="5CCFF89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PA mean</w:t>
            </w:r>
          </w:p>
          <w:p w14:paraId="317FCD7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(95% CI)</w:t>
            </w:r>
          </w:p>
        </w:tc>
        <w:tc>
          <w:tcPr>
            <w:tcW w:w="802" w:type="pct"/>
            <w:gridSpan w:val="2"/>
            <w:tcBorders>
              <w:top w:val="single" w:sz="4" w:space="0" w:color="auto"/>
              <w:bottom w:val="single" w:sz="4" w:space="0" w:color="auto"/>
            </w:tcBorders>
            <w:noWrap/>
          </w:tcPr>
          <w:p w14:paraId="0EFADCB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PA mean</w:t>
            </w:r>
          </w:p>
          <w:p w14:paraId="48F2746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(95% CI)</w:t>
            </w:r>
          </w:p>
        </w:tc>
        <w:tc>
          <w:tcPr>
            <w:tcW w:w="802" w:type="pct"/>
            <w:gridSpan w:val="2"/>
            <w:tcBorders>
              <w:top w:val="single" w:sz="4" w:space="0" w:color="auto"/>
              <w:bottom w:val="single" w:sz="4" w:space="0" w:color="auto"/>
            </w:tcBorders>
            <w:noWrap/>
          </w:tcPr>
          <w:p w14:paraId="1868936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PA mean</w:t>
            </w:r>
          </w:p>
          <w:p w14:paraId="7EEB6CD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
                <w:bCs/>
                <w:sz w:val="16"/>
                <w:szCs w:val="16"/>
                <w:lang w:eastAsia="en-GB"/>
              </w:rPr>
              <w:t>(95% CI)</w:t>
            </w:r>
          </w:p>
        </w:tc>
        <w:tc>
          <w:tcPr>
            <w:tcW w:w="428" w:type="pct"/>
            <w:tcBorders>
              <w:top w:val="single" w:sz="4" w:space="0" w:color="auto"/>
              <w:bottom w:val="single" w:sz="4" w:space="0" w:color="auto"/>
            </w:tcBorders>
            <w:noWrap/>
          </w:tcPr>
          <w:p w14:paraId="28BA9A0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r>
      <w:tr w:rsidR="009F3E29" w:rsidRPr="00966864" w14:paraId="62717747" w14:textId="77777777" w:rsidTr="00F211A9">
        <w:tc>
          <w:tcPr>
            <w:tcW w:w="1016" w:type="pct"/>
            <w:tcBorders>
              <w:top w:val="single" w:sz="4" w:space="0" w:color="auto"/>
              <w:bottom w:val="single" w:sz="4" w:space="0" w:color="auto"/>
            </w:tcBorders>
            <w:noWrap/>
          </w:tcPr>
          <w:p w14:paraId="389D0624" w14:textId="77777777" w:rsidR="009F3E29" w:rsidRPr="0022383B" w:rsidRDefault="009F3E29" w:rsidP="009F3E29">
            <w:pPr>
              <w:spacing w:before="30" w:after="30" w:line="240" w:lineRule="auto"/>
              <w:rPr>
                <w:rFonts w:ascii="Arial" w:eastAsia="Calibri" w:hAnsi="Arial" w:cs="Arial"/>
                <w:bCs/>
                <w:sz w:val="16"/>
                <w:szCs w:val="16"/>
                <w:lang w:eastAsia="en-GB"/>
              </w:rPr>
            </w:pPr>
            <w:r w:rsidRPr="0022383B">
              <w:rPr>
                <w:rFonts w:ascii="Arial" w:eastAsia="Calibri" w:hAnsi="Arial" w:cs="Arial"/>
                <w:bCs/>
                <w:sz w:val="16"/>
                <w:szCs w:val="16"/>
                <w:lang w:eastAsia="en-GB"/>
              </w:rPr>
              <w:t>Base-case lifetime</w:t>
            </w:r>
          </w:p>
        </w:tc>
        <w:tc>
          <w:tcPr>
            <w:tcW w:w="347" w:type="pct"/>
            <w:tcBorders>
              <w:top w:val="single" w:sz="4" w:space="0" w:color="auto"/>
              <w:bottom w:val="single" w:sz="4" w:space="0" w:color="auto"/>
            </w:tcBorders>
            <w:noWrap/>
          </w:tcPr>
          <w:p w14:paraId="7B016E43" w14:textId="77777777" w:rsidR="009F3E29" w:rsidRPr="00966864" w:rsidRDefault="009F3E29" w:rsidP="009F3E29">
            <w:pPr>
              <w:spacing w:before="30" w:after="30" w:line="240" w:lineRule="auto"/>
              <w:rPr>
                <w:rFonts w:ascii="Arial" w:eastAsia="Calibri" w:hAnsi="Arial" w:cs="Arial"/>
                <w:bCs/>
                <w:i/>
                <w:sz w:val="16"/>
                <w:szCs w:val="16"/>
                <w:lang w:eastAsia="en-GB"/>
              </w:rPr>
            </w:pPr>
          </w:p>
        </w:tc>
        <w:tc>
          <w:tcPr>
            <w:tcW w:w="401" w:type="pct"/>
            <w:tcBorders>
              <w:top w:val="single" w:sz="4" w:space="0" w:color="auto"/>
              <w:bottom w:val="single" w:sz="4" w:space="0" w:color="auto"/>
            </w:tcBorders>
            <w:noWrap/>
          </w:tcPr>
          <w:p w14:paraId="00F002B8" w14:textId="77777777" w:rsidR="009F3E29" w:rsidRPr="00966864" w:rsidRDefault="009F3E29" w:rsidP="009F3E29">
            <w:pPr>
              <w:spacing w:before="30" w:after="30" w:line="240" w:lineRule="auto"/>
              <w:jc w:val="center"/>
              <w:rPr>
                <w:rFonts w:ascii="Arial" w:eastAsia="Calibri" w:hAnsi="Arial" w:cs="Arial"/>
                <w:bCs/>
                <w:i/>
                <w:sz w:val="16"/>
                <w:szCs w:val="16"/>
                <w:lang w:eastAsia="en-GB"/>
              </w:rPr>
            </w:pPr>
            <w:r w:rsidRPr="00966864">
              <w:rPr>
                <w:rFonts w:ascii="Arial" w:eastAsia="Calibri" w:hAnsi="Arial" w:cs="Arial"/>
                <w:bCs/>
                <w:i/>
                <w:sz w:val="16"/>
                <w:szCs w:val="16"/>
                <w:lang w:eastAsia="en-GB"/>
              </w:rPr>
              <w:t>0.1388</w:t>
            </w:r>
          </w:p>
        </w:tc>
        <w:tc>
          <w:tcPr>
            <w:tcW w:w="401" w:type="pct"/>
            <w:tcBorders>
              <w:top w:val="single" w:sz="4" w:space="0" w:color="auto"/>
              <w:bottom w:val="single" w:sz="4" w:space="0" w:color="auto"/>
            </w:tcBorders>
            <w:noWrap/>
          </w:tcPr>
          <w:p w14:paraId="12A5026C" w14:textId="77777777" w:rsidR="009F3E29" w:rsidRPr="00966864" w:rsidRDefault="009F3E29" w:rsidP="009F3E29">
            <w:pPr>
              <w:spacing w:before="30" w:after="30" w:line="240" w:lineRule="auto"/>
              <w:jc w:val="center"/>
              <w:rPr>
                <w:rFonts w:ascii="Arial" w:eastAsia="Calibri" w:hAnsi="Arial" w:cs="Arial"/>
                <w:bCs/>
                <w:i/>
                <w:sz w:val="16"/>
                <w:szCs w:val="16"/>
                <w:lang w:eastAsia="en-GB"/>
              </w:rPr>
            </w:pPr>
            <w:r w:rsidRPr="00966864">
              <w:rPr>
                <w:rFonts w:ascii="Arial" w:eastAsia="Calibri" w:hAnsi="Arial" w:cs="Arial"/>
                <w:bCs/>
                <w:i/>
                <w:sz w:val="16"/>
                <w:szCs w:val="16"/>
                <w:lang w:eastAsia="en-GB"/>
              </w:rPr>
              <w:t>(0.07, 0.21)</w:t>
            </w:r>
          </w:p>
        </w:tc>
        <w:tc>
          <w:tcPr>
            <w:tcW w:w="401" w:type="pct"/>
            <w:tcBorders>
              <w:top w:val="single" w:sz="4" w:space="0" w:color="auto"/>
              <w:bottom w:val="single" w:sz="4" w:space="0" w:color="auto"/>
            </w:tcBorders>
            <w:noWrap/>
          </w:tcPr>
          <w:p w14:paraId="5F5A97D7" w14:textId="77777777" w:rsidR="009F3E29" w:rsidRPr="00966864" w:rsidRDefault="009F3E29" w:rsidP="009F3E29">
            <w:pPr>
              <w:spacing w:before="30" w:after="30" w:line="240" w:lineRule="auto"/>
              <w:jc w:val="center"/>
              <w:rPr>
                <w:rFonts w:ascii="Arial" w:eastAsia="Calibri" w:hAnsi="Arial" w:cs="Arial"/>
                <w:bCs/>
                <w:i/>
                <w:sz w:val="16"/>
                <w:szCs w:val="16"/>
                <w:lang w:eastAsia="en-GB"/>
              </w:rPr>
            </w:pPr>
            <w:r w:rsidRPr="00966864">
              <w:rPr>
                <w:rFonts w:ascii="Arial" w:eastAsia="Calibri" w:hAnsi="Arial" w:cs="Arial"/>
                <w:bCs/>
                <w:i/>
                <w:sz w:val="16"/>
                <w:szCs w:val="16"/>
                <w:lang w:eastAsia="en-GB"/>
              </w:rPr>
              <w:t>0.1371</w:t>
            </w:r>
          </w:p>
        </w:tc>
        <w:tc>
          <w:tcPr>
            <w:tcW w:w="401" w:type="pct"/>
            <w:tcBorders>
              <w:top w:val="single" w:sz="4" w:space="0" w:color="auto"/>
              <w:bottom w:val="single" w:sz="4" w:space="0" w:color="auto"/>
            </w:tcBorders>
            <w:noWrap/>
          </w:tcPr>
          <w:p w14:paraId="317FF7B3" w14:textId="77777777" w:rsidR="009F3E29" w:rsidRPr="00966864" w:rsidRDefault="009F3E29" w:rsidP="009F3E29">
            <w:pPr>
              <w:spacing w:before="30" w:after="30" w:line="240" w:lineRule="auto"/>
              <w:jc w:val="center"/>
              <w:rPr>
                <w:rFonts w:ascii="Arial" w:eastAsia="Calibri" w:hAnsi="Arial" w:cs="Arial"/>
                <w:bCs/>
                <w:i/>
                <w:sz w:val="16"/>
                <w:szCs w:val="16"/>
                <w:lang w:eastAsia="en-GB"/>
              </w:rPr>
            </w:pPr>
            <w:r w:rsidRPr="00966864">
              <w:rPr>
                <w:rFonts w:ascii="Arial" w:eastAsia="Calibri" w:hAnsi="Arial" w:cs="Arial"/>
                <w:bCs/>
                <w:i/>
                <w:sz w:val="16"/>
                <w:szCs w:val="16"/>
                <w:lang w:eastAsia="en-GB"/>
              </w:rPr>
              <w:t>(0.09, 0.18)</w:t>
            </w:r>
          </w:p>
        </w:tc>
        <w:tc>
          <w:tcPr>
            <w:tcW w:w="401" w:type="pct"/>
            <w:tcBorders>
              <w:top w:val="single" w:sz="4" w:space="0" w:color="auto"/>
              <w:bottom w:val="single" w:sz="4" w:space="0" w:color="auto"/>
            </w:tcBorders>
            <w:noWrap/>
          </w:tcPr>
          <w:p w14:paraId="154E4F11" w14:textId="77777777" w:rsidR="009F3E29" w:rsidRPr="00966864" w:rsidRDefault="009F3E29" w:rsidP="009F3E29">
            <w:pPr>
              <w:spacing w:before="30" w:after="30" w:line="240" w:lineRule="auto"/>
              <w:jc w:val="center"/>
              <w:rPr>
                <w:rFonts w:ascii="Arial" w:eastAsia="Calibri" w:hAnsi="Arial" w:cs="Arial"/>
                <w:bCs/>
                <w:i/>
                <w:sz w:val="16"/>
                <w:szCs w:val="16"/>
                <w:lang w:eastAsia="en-GB"/>
              </w:rPr>
            </w:pPr>
            <w:r w:rsidRPr="00966864">
              <w:rPr>
                <w:rFonts w:ascii="Arial" w:eastAsia="Calibri" w:hAnsi="Arial" w:cs="Arial"/>
                <w:bCs/>
                <w:i/>
                <w:sz w:val="16"/>
                <w:szCs w:val="16"/>
                <w:lang w:eastAsia="en-GB"/>
              </w:rPr>
              <w:t>C$2604</w:t>
            </w:r>
          </w:p>
        </w:tc>
        <w:tc>
          <w:tcPr>
            <w:tcW w:w="401" w:type="pct"/>
            <w:tcBorders>
              <w:top w:val="single" w:sz="4" w:space="0" w:color="auto"/>
              <w:bottom w:val="single" w:sz="4" w:space="0" w:color="auto"/>
            </w:tcBorders>
            <w:noWrap/>
          </w:tcPr>
          <w:p w14:paraId="783C0C20" w14:textId="77777777" w:rsidR="009F3E29" w:rsidRPr="00966864" w:rsidRDefault="009F3E29" w:rsidP="009F3E29">
            <w:pPr>
              <w:spacing w:before="30" w:after="30" w:line="240" w:lineRule="auto"/>
              <w:jc w:val="center"/>
              <w:rPr>
                <w:rFonts w:ascii="Arial" w:eastAsia="Calibri" w:hAnsi="Arial" w:cs="Arial"/>
                <w:bCs/>
                <w:i/>
                <w:sz w:val="16"/>
                <w:szCs w:val="16"/>
                <w:lang w:eastAsia="en-GB"/>
              </w:rPr>
            </w:pPr>
            <w:r w:rsidRPr="00966864">
              <w:rPr>
                <w:rFonts w:ascii="Arial" w:eastAsia="Calibri" w:hAnsi="Arial" w:cs="Arial"/>
                <w:bCs/>
                <w:i/>
                <w:sz w:val="16"/>
                <w:szCs w:val="16"/>
                <w:lang w:eastAsia="en-GB"/>
              </w:rPr>
              <w:t>(C$1980, C$3285)</w:t>
            </w:r>
          </w:p>
        </w:tc>
        <w:tc>
          <w:tcPr>
            <w:tcW w:w="401" w:type="pct"/>
            <w:tcBorders>
              <w:top w:val="single" w:sz="4" w:space="0" w:color="auto"/>
              <w:bottom w:val="single" w:sz="4" w:space="0" w:color="auto"/>
            </w:tcBorders>
            <w:noWrap/>
          </w:tcPr>
          <w:p w14:paraId="32AA165F" w14:textId="77777777" w:rsidR="009F3E29" w:rsidRPr="00966864" w:rsidRDefault="009F3E29" w:rsidP="009F3E29">
            <w:pPr>
              <w:spacing w:before="30" w:after="30" w:line="240" w:lineRule="auto"/>
              <w:jc w:val="center"/>
              <w:rPr>
                <w:rFonts w:ascii="Arial" w:eastAsia="Calibri" w:hAnsi="Arial" w:cs="Arial"/>
                <w:bCs/>
                <w:i/>
                <w:sz w:val="16"/>
                <w:szCs w:val="16"/>
                <w:lang w:eastAsia="en-GB"/>
              </w:rPr>
            </w:pPr>
            <w:r w:rsidRPr="00966864">
              <w:rPr>
                <w:rFonts w:ascii="Arial" w:eastAsia="Calibri" w:hAnsi="Arial" w:cs="Arial"/>
                <w:bCs/>
                <w:i/>
                <w:sz w:val="16"/>
                <w:szCs w:val="16"/>
                <w:lang w:eastAsia="en-GB"/>
              </w:rPr>
              <w:t>C$18,989</w:t>
            </w:r>
          </w:p>
        </w:tc>
        <w:tc>
          <w:tcPr>
            <w:tcW w:w="401" w:type="pct"/>
            <w:tcBorders>
              <w:top w:val="single" w:sz="4" w:space="0" w:color="auto"/>
              <w:bottom w:val="single" w:sz="4" w:space="0" w:color="auto"/>
            </w:tcBorders>
            <w:noWrap/>
          </w:tcPr>
          <w:p w14:paraId="4228FFF8" w14:textId="77777777" w:rsidR="009F3E29" w:rsidRPr="00966864" w:rsidRDefault="009F3E29" w:rsidP="009F3E29">
            <w:pPr>
              <w:spacing w:before="30" w:after="30" w:line="240" w:lineRule="auto"/>
              <w:jc w:val="center"/>
              <w:rPr>
                <w:rFonts w:ascii="Arial" w:eastAsia="Calibri" w:hAnsi="Arial" w:cs="Arial"/>
                <w:bCs/>
                <w:i/>
                <w:sz w:val="16"/>
                <w:szCs w:val="16"/>
                <w:lang w:eastAsia="en-GB"/>
              </w:rPr>
            </w:pPr>
            <w:r w:rsidRPr="00966864">
              <w:rPr>
                <w:rFonts w:ascii="Arial" w:eastAsia="Calibri" w:hAnsi="Arial" w:cs="Arial"/>
                <w:bCs/>
                <w:i/>
                <w:sz w:val="16"/>
                <w:szCs w:val="16"/>
                <w:lang w:eastAsia="en-GB"/>
              </w:rPr>
              <w:t>(C$14,665, C$25,753)</w:t>
            </w:r>
          </w:p>
        </w:tc>
        <w:tc>
          <w:tcPr>
            <w:tcW w:w="428" w:type="pct"/>
            <w:tcBorders>
              <w:top w:val="single" w:sz="4" w:space="0" w:color="auto"/>
              <w:bottom w:val="single" w:sz="4" w:space="0" w:color="auto"/>
            </w:tcBorders>
            <w:noWrap/>
          </w:tcPr>
          <w:p w14:paraId="39F0B58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w:t>
            </w:r>
          </w:p>
        </w:tc>
      </w:tr>
      <w:tr w:rsidR="009F3E29" w:rsidRPr="00966864" w14:paraId="47D9A4A1" w14:textId="77777777" w:rsidTr="00F211A9">
        <w:tc>
          <w:tcPr>
            <w:tcW w:w="1016" w:type="pct"/>
            <w:tcBorders>
              <w:top w:val="single" w:sz="4" w:space="0" w:color="auto"/>
              <w:bottom w:val="nil"/>
            </w:tcBorders>
            <w:noWrap/>
          </w:tcPr>
          <w:p w14:paraId="35F9BA35" w14:textId="77777777" w:rsidR="009F3E29" w:rsidRPr="00966864" w:rsidRDefault="009F3E29" w:rsidP="009F3E29">
            <w:pPr>
              <w:spacing w:before="30" w:after="30" w:line="240" w:lineRule="auto"/>
              <w:rPr>
                <w:rFonts w:ascii="Arial" w:eastAsia="Calibri" w:hAnsi="Arial" w:cs="Arial"/>
                <w:b/>
                <w:bCs/>
                <w:sz w:val="16"/>
                <w:szCs w:val="16"/>
                <w:lang w:eastAsia="en-GB"/>
              </w:rPr>
            </w:pPr>
            <w:r w:rsidRPr="00966864">
              <w:rPr>
                <w:rFonts w:ascii="Arial" w:eastAsia="Calibri" w:hAnsi="Arial" w:cs="Arial"/>
                <w:b/>
                <w:bCs/>
                <w:sz w:val="16"/>
                <w:szCs w:val="16"/>
                <w:lang w:eastAsia="en-GB"/>
              </w:rPr>
              <w:t>Sensitivity analyses</w:t>
            </w:r>
          </w:p>
        </w:tc>
        <w:tc>
          <w:tcPr>
            <w:tcW w:w="347" w:type="pct"/>
            <w:tcBorders>
              <w:top w:val="single" w:sz="4" w:space="0" w:color="auto"/>
              <w:bottom w:val="nil"/>
            </w:tcBorders>
            <w:noWrap/>
          </w:tcPr>
          <w:p w14:paraId="48694DCF"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tcBorders>
              <w:top w:val="single" w:sz="4" w:space="0" w:color="auto"/>
              <w:bottom w:val="nil"/>
            </w:tcBorders>
            <w:noWrap/>
          </w:tcPr>
          <w:p w14:paraId="0ADACDC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nil"/>
            </w:tcBorders>
            <w:noWrap/>
          </w:tcPr>
          <w:p w14:paraId="0714FB0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nil"/>
            </w:tcBorders>
            <w:noWrap/>
          </w:tcPr>
          <w:p w14:paraId="4AEEE3B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nil"/>
            </w:tcBorders>
            <w:noWrap/>
          </w:tcPr>
          <w:p w14:paraId="49A2580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nil"/>
            </w:tcBorders>
            <w:noWrap/>
          </w:tcPr>
          <w:p w14:paraId="7417734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nil"/>
            </w:tcBorders>
            <w:noWrap/>
          </w:tcPr>
          <w:p w14:paraId="42AF801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nil"/>
            </w:tcBorders>
            <w:noWrap/>
          </w:tcPr>
          <w:p w14:paraId="61D16C2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nil"/>
            </w:tcBorders>
            <w:noWrap/>
          </w:tcPr>
          <w:p w14:paraId="3A2E51A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28" w:type="pct"/>
            <w:tcBorders>
              <w:top w:val="single" w:sz="4" w:space="0" w:color="auto"/>
              <w:bottom w:val="nil"/>
            </w:tcBorders>
            <w:noWrap/>
          </w:tcPr>
          <w:p w14:paraId="1DFE824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r>
      <w:tr w:rsidR="009F3E29" w:rsidRPr="00966864" w14:paraId="619BBD3B" w14:textId="77777777" w:rsidTr="00F211A9">
        <w:tc>
          <w:tcPr>
            <w:tcW w:w="1016" w:type="pct"/>
            <w:tcBorders>
              <w:top w:val="single" w:sz="4" w:space="0" w:color="auto"/>
              <w:bottom w:val="nil"/>
            </w:tcBorders>
            <w:noWrap/>
          </w:tcPr>
          <w:p w14:paraId="038D9A78"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Baseline fibrinogen lower CI</w:t>
            </w:r>
          </w:p>
        </w:tc>
        <w:tc>
          <w:tcPr>
            <w:tcW w:w="347" w:type="pct"/>
            <w:tcBorders>
              <w:top w:val="single" w:sz="4" w:space="0" w:color="auto"/>
              <w:bottom w:val="nil"/>
            </w:tcBorders>
            <w:noWrap/>
          </w:tcPr>
          <w:p w14:paraId="6A6BA93C"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472.83</w:t>
            </w:r>
          </w:p>
        </w:tc>
        <w:tc>
          <w:tcPr>
            <w:tcW w:w="401" w:type="pct"/>
            <w:tcBorders>
              <w:top w:val="single" w:sz="4" w:space="0" w:color="auto"/>
              <w:bottom w:val="nil"/>
            </w:tcBorders>
            <w:noWrap/>
          </w:tcPr>
          <w:p w14:paraId="3F48531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0.1394</w:t>
            </w:r>
          </w:p>
        </w:tc>
        <w:tc>
          <w:tcPr>
            <w:tcW w:w="401" w:type="pct"/>
            <w:tcBorders>
              <w:top w:val="single" w:sz="4" w:space="0" w:color="auto"/>
              <w:bottom w:val="nil"/>
            </w:tcBorders>
            <w:noWrap/>
          </w:tcPr>
          <w:p w14:paraId="54A9641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single" w:sz="4" w:space="0" w:color="auto"/>
              <w:bottom w:val="nil"/>
            </w:tcBorders>
            <w:noWrap/>
          </w:tcPr>
          <w:p w14:paraId="0171970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0.1379</w:t>
            </w:r>
          </w:p>
        </w:tc>
        <w:tc>
          <w:tcPr>
            <w:tcW w:w="401" w:type="pct"/>
            <w:tcBorders>
              <w:top w:val="single" w:sz="4" w:space="0" w:color="auto"/>
              <w:bottom w:val="nil"/>
            </w:tcBorders>
            <w:noWrap/>
          </w:tcPr>
          <w:p w14:paraId="7DBCBF9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(0.10, 0.18)</w:t>
            </w:r>
          </w:p>
        </w:tc>
        <w:tc>
          <w:tcPr>
            <w:tcW w:w="401" w:type="pct"/>
            <w:tcBorders>
              <w:top w:val="single" w:sz="4" w:space="0" w:color="auto"/>
              <w:bottom w:val="nil"/>
            </w:tcBorders>
            <w:noWrap/>
          </w:tcPr>
          <w:p w14:paraId="4D0FC77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C$2602</w:t>
            </w:r>
          </w:p>
        </w:tc>
        <w:tc>
          <w:tcPr>
            <w:tcW w:w="401" w:type="pct"/>
            <w:tcBorders>
              <w:top w:val="single" w:sz="4" w:space="0" w:color="auto"/>
              <w:bottom w:val="nil"/>
            </w:tcBorders>
            <w:noWrap/>
          </w:tcPr>
          <w:p w14:paraId="71643F7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(C$2002, C$3267)</w:t>
            </w:r>
          </w:p>
        </w:tc>
        <w:tc>
          <w:tcPr>
            <w:tcW w:w="401" w:type="pct"/>
            <w:tcBorders>
              <w:top w:val="single" w:sz="4" w:space="0" w:color="auto"/>
              <w:bottom w:val="nil"/>
            </w:tcBorders>
            <w:noWrap/>
          </w:tcPr>
          <w:p w14:paraId="2DE31E7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C$18,862</w:t>
            </w:r>
          </w:p>
        </w:tc>
        <w:tc>
          <w:tcPr>
            <w:tcW w:w="401" w:type="pct"/>
            <w:tcBorders>
              <w:top w:val="single" w:sz="4" w:space="0" w:color="auto"/>
              <w:bottom w:val="nil"/>
            </w:tcBorders>
            <w:noWrap/>
          </w:tcPr>
          <w:p w14:paraId="7D1435C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(C$14,691, C$25,358)</w:t>
            </w:r>
          </w:p>
        </w:tc>
        <w:tc>
          <w:tcPr>
            <w:tcW w:w="428" w:type="pct"/>
            <w:tcBorders>
              <w:top w:val="single" w:sz="4" w:space="0" w:color="auto"/>
              <w:bottom w:val="nil"/>
            </w:tcBorders>
            <w:noWrap/>
          </w:tcPr>
          <w:p w14:paraId="0B5F49B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−1</w:t>
            </w:r>
          </w:p>
        </w:tc>
      </w:tr>
      <w:tr w:rsidR="009F3E29" w:rsidRPr="00966864" w14:paraId="0B4E4F2B" w14:textId="77777777" w:rsidTr="00F211A9">
        <w:tc>
          <w:tcPr>
            <w:tcW w:w="1016" w:type="pct"/>
            <w:tcBorders>
              <w:top w:val="nil"/>
              <w:bottom w:val="nil"/>
            </w:tcBorders>
            <w:noWrap/>
          </w:tcPr>
          <w:p w14:paraId="2EB772C7"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Baseline fibrinogen upper CI</w:t>
            </w:r>
          </w:p>
        </w:tc>
        <w:tc>
          <w:tcPr>
            <w:tcW w:w="347" w:type="pct"/>
            <w:tcBorders>
              <w:top w:val="nil"/>
              <w:bottom w:val="nil"/>
            </w:tcBorders>
            <w:noWrap/>
          </w:tcPr>
          <w:p w14:paraId="4EBAF6D0"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482.10</w:t>
            </w:r>
          </w:p>
        </w:tc>
        <w:tc>
          <w:tcPr>
            <w:tcW w:w="401" w:type="pct"/>
            <w:tcBorders>
              <w:top w:val="nil"/>
              <w:bottom w:val="nil"/>
            </w:tcBorders>
            <w:noWrap/>
          </w:tcPr>
          <w:p w14:paraId="759B5E1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0.1401</w:t>
            </w:r>
          </w:p>
        </w:tc>
        <w:tc>
          <w:tcPr>
            <w:tcW w:w="401" w:type="pct"/>
            <w:tcBorders>
              <w:top w:val="nil"/>
              <w:bottom w:val="nil"/>
            </w:tcBorders>
            <w:noWrap/>
          </w:tcPr>
          <w:p w14:paraId="6475214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7C8A459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0.1378</w:t>
            </w:r>
          </w:p>
        </w:tc>
        <w:tc>
          <w:tcPr>
            <w:tcW w:w="401" w:type="pct"/>
            <w:tcBorders>
              <w:top w:val="nil"/>
              <w:bottom w:val="nil"/>
            </w:tcBorders>
            <w:noWrap/>
          </w:tcPr>
          <w:p w14:paraId="5F9C461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tcBorders>
              <w:top w:val="nil"/>
              <w:bottom w:val="nil"/>
            </w:tcBorders>
            <w:noWrap/>
          </w:tcPr>
          <w:p w14:paraId="093995A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C$2602</w:t>
            </w:r>
          </w:p>
        </w:tc>
        <w:tc>
          <w:tcPr>
            <w:tcW w:w="401" w:type="pct"/>
            <w:tcBorders>
              <w:top w:val="nil"/>
              <w:bottom w:val="nil"/>
            </w:tcBorders>
            <w:noWrap/>
          </w:tcPr>
          <w:p w14:paraId="012E20F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(C$1984, C$3278)</w:t>
            </w:r>
          </w:p>
        </w:tc>
        <w:tc>
          <w:tcPr>
            <w:tcW w:w="401" w:type="pct"/>
            <w:tcBorders>
              <w:top w:val="nil"/>
              <w:bottom w:val="nil"/>
            </w:tcBorders>
            <w:noWrap/>
          </w:tcPr>
          <w:p w14:paraId="61B2CD7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C$18,876</w:t>
            </w:r>
          </w:p>
        </w:tc>
        <w:tc>
          <w:tcPr>
            <w:tcW w:w="401" w:type="pct"/>
            <w:tcBorders>
              <w:top w:val="nil"/>
              <w:bottom w:val="nil"/>
            </w:tcBorders>
            <w:noWrap/>
          </w:tcPr>
          <w:p w14:paraId="23820BA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(C$14,633, C$25,739)</w:t>
            </w:r>
          </w:p>
        </w:tc>
        <w:tc>
          <w:tcPr>
            <w:tcW w:w="428" w:type="pct"/>
            <w:tcBorders>
              <w:top w:val="nil"/>
              <w:bottom w:val="nil"/>
            </w:tcBorders>
            <w:noWrap/>
          </w:tcPr>
          <w:p w14:paraId="4F04EEE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−1</w:t>
            </w:r>
          </w:p>
        </w:tc>
      </w:tr>
      <w:tr w:rsidR="009F3E29" w:rsidRPr="00966864" w14:paraId="116F6429" w14:textId="77777777" w:rsidTr="00F211A9">
        <w:tc>
          <w:tcPr>
            <w:tcW w:w="1016" w:type="pct"/>
            <w:tcBorders>
              <w:top w:val="nil"/>
              <w:bottom w:val="nil"/>
            </w:tcBorders>
            <w:noWrap/>
          </w:tcPr>
          <w:p w14:paraId="563FD506"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Baseline 6MWT lower CI</w:t>
            </w:r>
          </w:p>
        </w:tc>
        <w:tc>
          <w:tcPr>
            <w:tcW w:w="347" w:type="pct"/>
            <w:tcBorders>
              <w:top w:val="nil"/>
              <w:bottom w:val="nil"/>
            </w:tcBorders>
            <w:noWrap/>
          </w:tcPr>
          <w:p w14:paraId="69DC2E0E"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360.42</w:t>
            </w:r>
          </w:p>
        </w:tc>
        <w:tc>
          <w:tcPr>
            <w:tcW w:w="401" w:type="pct"/>
            <w:tcBorders>
              <w:top w:val="nil"/>
              <w:bottom w:val="nil"/>
            </w:tcBorders>
            <w:noWrap/>
          </w:tcPr>
          <w:p w14:paraId="3EDFB7F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0.1381</w:t>
            </w:r>
          </w:p>
        </w:tc>
        <w:tc>
          <w:tcPr>
            <w:tcW w:w="401" w:type="pct"/>
            <w:tcBorders>
              <w:top w:val="nil"/>
              <w:bottom w:val="nil"/>
            </w:tcBorders>
            <w:noWrap/>
          </w:tcPr>
          <w:p w14:paraId="27A223C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12434BF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0.1369</w:t>
            </w:r>
          </w:p>
        </w:tc>
        <w:tc>
          <w:tcPr>
            <w:tcW w:w="401" w:type="pct"/>
            <w:tcBorders>
              <w:top w:val="nil"/>
              <w:bottom w:val="nil"/>
            </w:tcBorders>
            <w:noWrap/>
          </w:tcPr>
          <w:p w14:paraId="3AC6A8F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tcBorders>
              <w:top w:val="nil"/>
              <w:bottom w:val="nil"/>
            </w:tcBorders>
            <w:noWrap/>
          </w:tcPr>
          <w:p w14:paraId="724DAC5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C$2593</w:t>
            </w:r>
          </w:p>
        </w:tc>
        <w:tc>
          <w:tcPr>
            <w:tcW w:w="401" w:type="pct"/>
            <w:tcBorders>
              <w:top w:val="nil"/>
              <w:bottom w:val="nil"/>
            </w:tcBorders>
            <w:noWrap/>
          </w:tcPr>
          <w:p w14:paraId="28D9EC9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(C$1981, C$3272)</w:t>
            </w:r>
          </w:p>
        </w:tc>
        <w:tc>
          <w:tcPr>
            <w:tcW w:w="401" w:type="pct"/>
            <w:tcBorders>
              <w:top w:val="nil"/>
              <w:bottom w:val="nil"/>
            </w:tcBorders>
            <w:noWrap/>
          </w:tcPr>
          <w:p w14:paraId="4B56F68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C$18,937</w:t>
            </w:r>
          </w:p>
        </w:tc>
        <w:tc>
          <w:tcPr>
            <w:tcW w:w="401" w:type="pct"/>
            <w:tcBorders>
              <w:top w:val="nil"/>
              <w:bottom w:val="nil"/>
            </w:tcBorders>
            <w:noWrap/>
          </w:tcPr>
          <w:p w14:paraId="623BD14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(C$14,678, C$25,845)</w:t>
            </w:r>
          </w:p>
        </w:tc>
        <w:tc>
          <w:tcPr>
            <w:tcW w:w="428" w:type="pct"/>
            <w:tcBorders>
              <w:top w:val="nil"/>
              <w:bottom w:val="nil"/>
            </w:tcBorders>
            <w:noWrap/>
          </w:tcPr>
          <w:p w14:paraId="2BD7D0B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w:t>
            </w:r>
          </w:p>
        </w:tc>
      </w:tr>
      <w:tr w:rsidR="009F3E29" w:rsidRPr="00966864" w14:paraId="3561DDD4" w14:textId="77777777" w:rsidTr="00F211A9">
        <w:tc>
          <w:tcPr>
            <w:tcW w:w="1016" w:type="pct"/>
            <w:tcBorders>
              <w:top w:val="nil"/>
              <w:bottom w:val="nil"/>
            </w:tcBorders>
            <w:noWrap/>
          </w:tcPr>
          <w:p w14:paraId="796244A5"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Baseline 6MWT upper CI</w:t>
            </w:r>
          </w:p>
        </w:tc>
        <w:tc>
          <w:tcPr>
            <w:tcW w:w="347" w:type="pct"/>
            <w:tcBorders>
              <w:top w:val="nil"/>
              <w:bottom w:val="nil"/>
            </w:tcBorders>
            <w:noWrap/>
          </w:tcPr>
          <w:p w14:paraId="49F06048"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371.17</w:t>
            </w:r>
          </w:p>
        </w:tc>
        <w:tc>
          <w:tcPr>
            <w:tcW w:w="401" w:type="pct"/>
            <w:tcBorders>
              <w:top w:val="nil"/>
              <w:bottom w:val="nil"/>
            </w:tcBorders>
            <w:noWrap/>
          </w:tcPr>
          <w:p w14:paraId="25AA8B3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0.1401</w:t>
            </w:r>
          </w:p>
        </w:tc>
        <w:tc>
          <w:tcPr>
            <w:tcW w:w="401" w:type="pct"/>
            <w:tcBorders>
              <w:top w:val="nil"/>
              <w:bottom w:val="nil"/>
            </w:tcBorders>
            <w:noWrap/>
          </w:tcPr>
          <w:p w14:paraId="1AAA92E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1CD2289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0.1380</w:t>
            </w:r>
          </w:p>
        </w:tc>
        <w:tc>
          <w:tcPr>
            <w:tcW w:w="401" w:type="pct"/>
            <w:tcBorders>
              <w:top w:val="nil"/>
              <w:bottom w:val="nil"/>
            </w:tcBorders>
            <w:noWrap/>
          </w:tcPr>
          <w:p w14:paraId="456C1B0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tcBorders>
              <w:top w:val="nil"/>
              <w:bottom w:val="nil"/>
            </w:tcBorders>
            <w:noWrap/>
          </w:tcPr>
          <w:p w14:paraId="5F566E4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C$2617</w:t>
            </w:r>
          </w:p>
        </w:tc>
        <w:tc>
          <w:tcPr>
            <w:tcW w:w="401" w:type="pct"/>
            <w:tcBorders>
              <w:top w:val="nil"/>
              <w:bottom w:val="nil"/>
            </w:tcBorders>
            <w:noWrap/>
          </w:tcPr>
          <w:p w14:paraId="11D2831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(C$2025, C$3306)</w:t>
            </w:r>
          </w:p>
        </w:tc>
        <w:tc>
          <w:tcPr>
            <w:tcW w:w="401" w:type="pct"/>
            <w:tcBorders>
              <w:top w:val="nil"/>
              <w:bottom w:val="nil"/>
            </w:tcBorders>
            <w:noWrap/>
          </w:tcPr>
          <w:p w14:paraId="53FC2AF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C$18,964</w:t>
            </w:r>
          </w:p>
        </w:tc>
        <w:tc>
          <w:tcPr>
            <w:tcW w:w="401" w:type="pct"/>
            <w:tcBorders>
              <w:top w:val="nil"/>
              <w:bottom w:val="nil"/>
            </w:tcBorders>
            <w:noWrap/>
          </w:tcPr>
          <w:p w14:paraId="0C098AF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(C$14,790, C$26,075)</w:t>
            </w:r>
          </w:p>
        </w:tc>
        <w:tc>
          <w:tcPr>
            <w:tcW w:w="428" w:type="pct"/>
            <w:tcBorders>
              <w:top w:val="nil"/>
              <w:bottom w:val="nil"/>
            </w:tcBorders>
            <w:noWrap/>
          </w:tcPr>
          <w:p w14:paraId="65241C6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w:t>
            </w:r>
          </w:p>
        </w:tc>
      </w:tr>
      <w:tr w:rsidR="009F3E29" w:rsidRPr="00966864" w14:paraId="7E53D1B8" w14:textId="77777777" w:rsidTr="00F211A9">
        <w:tc>
          <w:tcPr>
            <w:tcW w:w="1016" w:type="pct"/>
            <w:tcBorders>
              <w:top w:val="nil"/>
              <w:bottom w:val="nil"/>
            </w:tcBorders>
            <w:noWrap/>
          </w:tcPr>
          <w:p w14:paraId="0687DC05" w14:textId="127FEF50" w:rsidR="009F3E29" w:rsidRPr="00966864" w:rsidRDefault="003872CA"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Baseline </w:t>
            </w:r>
            <w:proofErr w:type="spellStart"/>
            <w:r w:rsidRPr="00966864">
              <w:rPr>
                <w:rFonts w:ascii="Arial" w:eastAsia="Calibri" w:hAnsi="Arial" w:cs="Arial"/>
                <w:bCs/>
                <w:sz w:val="16"/>
                <w:szCs w:val="16"/>
                <w:lang w:eastAsia="en-GB"/>
              </w:rPr>
              <w:t>mMRC</w:t>
            </w:r>
            <w:proofErr w:type="spellEnd"/>
            <w:r w:rsidRPr="00966864">
              <w:rPr>
                <w:rFonts w:ascii="Arial" w:eastAsia="Calibri" w:hAnsi="Arial" w:cs="Arial"/>
                <w:bCs/>
                <w:sz w:val="16"/>
                <w:szCs w:val="16"/>
                <w:lang w:eastAsia="en-GB"/>
              </w:rPr>
              <w:t xml:space="preserve"> </w:t>
            </w:r>
            <w:proofErr w:type="spellStart"/>
            <w:r w:rsidRPr="00966864">
              <w:rPr>
                <w:rFonts w:ascii="Arial" w:eastAsia="Calibri" w:hAnsi="Arial" w:cs="Arial"/>
                <w:bCs/>
                <w:sz w:val="16"/>
                <w:szCs w:val="16"/>
                <w:lang w:eastAsia="en-GB"/>
              </w:rPr>
              <w:t>dyspn</w:t>
            </w:r>
            <w:r w:rsidR="009F3E29" w:rsidRPr="00966864">
              <w:rPr>
                <w:rFonts w:ascii="Arial" w:eastAsia="Calibri" w:hAnsi="Arial" w:cs="Arial"/>
                <w:bCs/>
                <w:sz w:val="16"/>
                <w:szCs w:val="16"/>
                <w:lang w:eastAsia="en-GB"/>
              </w:rPr>
              <w:t>ea</w:t>
            </w:r>
            <w:proofErr w:type="spellEnd"/>
            <w:r w:rsidR="009F3E29" w:rsidRPr="00966864">
              <w:rPr>
                <w:rFonts w:ascii="Arial" w:eastAsia="Calibri" w:hAnsi="Arial" w:cs="Arial"/>
                <w:bCs/>
                <w:sz w:val="16"/>
                <w:szCs w:val="16"/>
                <w:lang w:eastAsia="en-GB"/>
              </w:rPr>
              <w:t xml:space="preserve"> score ≥2 −25%</w:t>
            </w:r>
          </w:p>
        </w:tc>
        <w:tc>
          <w:tcPr>
            <w:tcW w:w="347" w:type="pct"/>
            <w:tcBorders>
              <w:top w:val="nil"/>
              <w:bottom w:val="nil"/>
            </w:tcBorders>
            <w:noWrap/>
          </w:tcPr>
          <w:p w14:paraId="251062AA"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0.278</w:t>
            </w:r>
          </w:p>
        </w:tc>
        <w:tc>
          <w:tcPr>
            <w:tcW w:w="401" w:type="pct"/>
            <w:tcBorders>
              <w:top w:val="nil"/>
              <w:bottom w:val="nil"/>
            </w:tcBorders>
            <w:noWrap/>
          </w:tcPr>
          <w:p w14:paraId="00A5EC1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0.1390</w:t>
            </w:r>
          </w:p>
        </w:tc>
        <w:tc>
          <w:tcPr>
            <w:tcW w:w="401" w:type="pct"/>
            <w:tcBorders>
              <w:top w:val="nil"/>
              <w:bottom w:val="nil"/>
            </w:tcBorders>
            <w:noWrap/>
          </w:tcPr>
          <w:p w14:paraId="785F5AD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7D2CC930"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0.1377</w:t>
            </w:r>
          </w:p>
        </w:tc>
        <w:tc>
          <w:tcPr>
            <w:tcW w:w="401" w:type="pct"/>
            <w:tcBorders>
              <w:top w:val="nil"/>
              <w:bottom w:val="nil"/>
            </w:tcBorders>
            <w:noWrap/>
          </w:tcPr>
          <w:p w14:paraId="3A2F2F2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(0.10, 0.18)</w:t>
            </w:r>
          </w:p>
        </w:tc>
        <w:tc>
          <w:tcPr>
            <w:tcW w:w="401" w:type="pct"/>
            <w:tcBorders>
              <w:top w:val="nil"/>
              <w:bottom w:val="nil"/>
            </w:tcBorders>
            <w:noWrap/>
          </w:tcPr>
          <w:p w14:paraId="3F30904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C$2623</w:t>
            </w:r>
          </w:p>
        </w:tc>
        <w:tc>
          <w:tcPr>
            <w:tcW w:w="401" w:type="pct"/>
            <w:tcBorders>
              <w:top w:val="nil"/>
              <w:bottom w:val="nil"/>
            </w:tcBorders>
            <w:noWrap/>
          </w:tcPr>
          <w:p w14:paraId="451B0A7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(C$2019, C$3307)</w:t>
            </w:r>
          </w:p>
        </w:tc>
        <w:tc>
          <w:tcPr>
            <w:tcW w:w="401" w:type="pct"/>
            <w:tcBorders>
              <w:top w:val="nil"/>
              <w:bottom w:val="nil"/>
            </w:tcBorders>
            <w:noWrap/>
          </w:tcPr>
          <w:p w14:paraId="396C826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C$19,045</w:t>
            </w:r>
          </w:p>
        </w:tc>
        <w:tc>
          <w:tcPr>
            <w:tcW w:w="401" w:type="pct"/>
            <w:tcBorders>
              <w:top w:val="nil"/>
              <w:bottom w:val="nil"/>
            </w:tcBorders>
            <w:noWrap/>
          </w:tcPr>
          <w:p w14:paraId="12D415E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(C$14,814, C$26,018)</w:t>
            </w:r>
          </w:p>
        </w:tc>
        <w:tc>
          <w:tcPr>
            <w:tcW w:w="428" w:type="pct"/>
            <w:tcBorders>
              <w:top w:val="nil"/>
              <w:bottom w:val="nil"/>
            </w:tcBorders>
            <w:noWrap/>
          </w:tcPr>
          <w:p w14:paraId="6D58AF8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w:t>
            </w:r>
          </w:p>
        </w:tc>
      </w:tr>
      <w:tr w:rsidR="009F3E29" w:rsidRPr="00966864" w14:paraId="75512414" w14:textId="77777777" w:rsidTr="00F211A9">
        <w:tc>
          <w:tcPr>
            <w:tcW w:w="1016" w:type="pct"/>
            <w:tcBorders>
              <w:top w:val="nil"/>
              <w:bottom w:val="nil"/>
            </w:tcBorders>
            <w:noWrap/>
          </w:tcPr>
          <w:p w14:paraId="70A178DA" w14:textId="69A8E516" w:rsidR="009F3E29" w:rsidRPr="00966864" w:rsidRDefault="003872CA"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Baseline </w:t>
            </w:r>
            <w:proofErr w:type="spellStart"/>
            <w:r w:rsidRPr="00966864">
              <w:rPr>
                <w:rFonts w:ascii="Arial" w:eastAsia="Calibri" w:hAnsi="Arial" w:cs="Arial"/>
                <w:bCs/>
                <w:sz w:val="16"/>
                <w:szCs w:val="16"/>
                <w:lang w:eastAsia="en-GB"/>
              </w:rPr>
              <w:t>mMRC</w:t>
            </w:r>
            <w:proofErr w:type="spellEnd"/>
            <w:r w:rsidRPr="00966864">
              <w:rPr>
                <w:rFonts w:ascii="Arial" w:eastAsia="Calibri" w:hAnsi="Arial" w:cs="Arial"/>
                <w:bCs/>
                <w:sz w:val="16"/>
                <w:szCs w:val="16"/>
                <w:lang w:eastAsia="en-GB"/>
              </w:rPr>
              <w:t xml:space="preserve"> </w:t>
            </w:r>
            <w:proofErr w:type="spellStart"/>
            <w:r w:rsidRPr="00966864">
              <w:rPr>
                <w:rFonts w:ascii="Arial" w:eastAsia="Calibri" w:hAnsi="Arial" w:cs="Arial"/>
                <w:bCs/>
                <w:sz w:val="16"/>
                <w:szCs w:val="16"/>
                <w:lang w:eastAsia="en-GB"/>
              </w:rPr>
              <w:t>dyspn</w:t>
            </w:r>
            <w:r w:rsidR="009F3E29" w:rsidRPr="00966864">
              <w:rPr>
                <w:rFonts w:ascii="Arial" w:eastAsia="Calibri" w:hAnsi="Arial" w:cs="Arial"/>
                <w:bCs/>
                <w:sz w:val="16"/>
                <w:szCs w:val="16"/>
                <w:lang w:eastAsia="en-GB"/>
              </w:rPr>
              <w:t>ea</w:t>
            </w:r>
            <w:proofErr w:type="spellEnd"/>
            <w:r w:rsidR="009F3E29" w:rsidRPr="00966864">
              <w:rPr>
                <w:rFonts w:ascii="Arial" w:eastAsia="Calibri" w:hAnsi="Arial" w:cs="Arial"/>
                <w:bCs/>
                <w:sz w:val="16"/>
                <w:szCs w:val="16"/>
                <w:lang w:eastAsia="en-GB"/>
              </w:rPr>
              <w:t xml:space="preserve"> score ≥2 +25%</w:t>
            </w:r>
          </w:p>
        </w:tc>
        <w:tc>
          <w:tcPr>
            <w:tcW w:w="347" w:type="pct"/>
            <w:tcBorders>
              <w:top w:val="nil"/>
              <w:bottom w:val="nil"/>
            </w:tcBorders>
            <w:noWrap/>
          </w:tcPr>
          <w:p w14:paraId="7DA62A85"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0.463</w:t>
            </w:r>
          </w:p>
        </w:tc>
        <w:tc>
          <w:tcPr>
            <w:tcW w:w="401" w:type="pct"/>
            <w:tcBorders>
              <w:top w:val="nil"/>
              <w:bottom w:val="nil"/>
            </w:tcBorders>
            <w:noWrap/>
          </w:tcPr>
          <w:p w14:paraId="6ABA1CB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0.1388</w:t>
            </w:r>
          </w:p>
        </w:tc>
        <w:tc>
          <w:tcPr>
            <w:tcW w:w="401" w:type="pct"/>
            <w:tcBorders>
              <w:top w:val="nil"/>
              <w:bottom w:val="nil"/>
            </w:tcBorders>
            <w:noWrap/>
          </w:tcPr>
          <w:p w14:paraId="00ED523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2B77830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0.1371</w:t>
            </w:r>
          </w:p>
        </w:tc>
        <w:tc>
          <w:tcPr>
            <w:tcW w:w="401" w:type="pct"/>
            <w:tcBorders>
              <w:top w:val="nil"/>
              <w:bottom w:val="nil"/>
            </w:tcBorders>
            <w:noWrap/>
          </w:tcPr>
          <w:p w14:paraId="22EACA90"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tcBorders>
              <w:top w:val="nil"/>
              <w:bottom w:val="nil"/>
            </w:tcBorders>
            <w:noWrap/>
          </w:tcPr>
          <w:p w14:paraId="2469B09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C$2583</w:t>
            </w:r>
          </w:p>
        </w:tc>
        <w:tc>
          <w:tcPr>
            <w:tcW w:w="401" w:type="pct"/>
            <w:tcBorders>
              <w:top w:val="nil"/>
              <w:bottom w:val="nil"/>
            </w:tcBorders>
            <w:noWrap/>
          </w:tcPr>
          <w:p w14:paraId="05A7A05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(C$1985, C$3223)</w:t>
            </w:r>
          </w:p>
        </w:tc>
        <w:tc>
          <w:tcPr>
            <w:tcW w:w="401" w:type="pct"/>
            <w:tcBorders>
              <w:top w:val="nil"/>
              <w:bottom w:val="nil"/>
            </w:tcBorders>
            <w:noWrap/>
          </w:tcPr>
          <w:p w14:paraId="0ABF6D9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C$18,834</w:t>
            </w:r>
          </w:p>
        </w:tc>
        <w:tc>
          <w:tcPr>
            <w:tcW w:w="401" w:type="pct"/>
            <w:tcBorders>
              <w:top w:val="nil"/>
              <w:bottom w:val="nil"/>
            </w:tcBorders>
            <w:noWrap/>
          </w:tcPr>
          <w:p w14:paraId="6CDBB6E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(C$14,740, C$25,827)</w:t>
            </w:r>
          </w:p>
        </w:tc>
        <w:tc>
          <w:tcPr>
            <w:tcW w:w="428" w:type="pct"/>
            <w:tcBorders>
              <w:top w:val="nil"/>
              <w:bottom w:val="nil"/>
            </w:tcBorders>
            <w:noWrap/>
          </w:tcPr>
          <w:p w14:paraId="4404558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−1</w:t>
            </w:r>
          </w:p>
        </w:tc>
      </w:tr>
      <w:tr w:rsidR="009F3E29" w:rsidRPr="00966864" w14:paraId="2F344052" w14:textId="77777777" w:rsidTr="00F211A9">
        <w:tc>
          <w:tcPr>
            <w:tcW w:w="1016" w:type="pct"/>
            <w:tcBorders>
              <w:top w:val="nil"/>
              <w:bottom w:val="nil"/>
            </w:tcBorders>
            <w:noWrap/>
          </w:tcPr>
          <w:p w14:paraId="44E21AE3"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All hospital costs −25%</w:t>
            </w:r>
          </w:p>
        </w:tc>
        <w:tc>
          <w:tcPr>
            <w:tcW w:w="347" w:type="pct"/>
            <w:tcBorders>
              <w:top w:val="nil"/>
              <w:bottom w:val="nil"/>
            </w:tcBorders>
            <w:noWrap/>
          </w:tcPr>
          <w:p w14:paraId="312E479D"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tcBorders>
              <w:top w:val="nil"/>
              <w:bottom w:val="nil"/>
            </w:tcBorders>
            <w:noWrap/>
          </w:tcPr>
          <w:p w14:paraId="577E210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0.1391</w:t>
            </w:r>
          </w:p>
        </w:tc>
        <w:tc>
          <w:tcPr>
            <w:tcW w:w="401" w:type="pct"/>
            <w:tcBorders>
              <w:top w:val="nil"/>
              <w:bottom w:val="nil"/>
            </w:tcBorders>
            <w:noWrap/>
          </w:tcPr>
          <w:p w14:paraId="1CC534C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5487659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0.1374</w:t>
            </w:r>
          </w:p>
        </w:tc>
        <w:tc>
          <w:tcPr>
            <w:tcW w:w="401" w:type="pct"/>
            <w:tcBorders>
              <w:top w:val="nil"/>
              <w:bottom w:val="nil"/>
            </w:tcBorders>
            <w:noWrap/>
          </w:tcPr>
          <w:p w14:paraId="6951A99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tcBorders>
              <w:top w:val="nil"/>
              <w:bottom w:val="nil"/>
            </w:tcBorders>
            <w:noWrap/>
          </w:tcPr>
          <w:p w14:paraId="7CE3441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C$2432</w:t>
            </w:r>
          </w:p>
        </w:tc>
        <w:tc>
          <w:tcPr>
            <w:tcW w:w="401" w:type="pct"/>
            <w:tcBorders>
              <w:top w:val="nil"/>
              <w:bottom w:val="nil"/>
            </w:tcBorders>
            <w:noWrap/>
          </w:tcPr>
          <w:p w14:paraId="35B72DF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(C$1956, C$2966)</w:t>
            </w:r>
          </w:p>
        </w:tc>
        <w:tc>
          <w:tcPr>
            <w:tcW w:w="401" w:type="pct"/>
            <w:tcBorders>
              <w:top w:val="nil"/>
              <w:bottom w:val="nil"/>
            </w:tcBorders>
            <w:noWrap/>
          </w:tcPr>
          <w:p w14:paraId="4F6A7AC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C$17,693</w:t>
            </w:r>
          </w:p>
        </w:tc>
        <w:tc>
          <w:tcPr>
            <w:tcW w:w="401" w:type="pct"/>
            <w:tcBorders>
              <w:top w:val="nil"/>
              <w:bottom w:val="nil"/>
            </w:tcBorders>
            <w:noWrap/>
          </w:tcPr>
          <w:p w14:paraId="42F5D4C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(C$13,945, C$23,814)</w:t>
            </w:r>
          </w:p>
        </w:tc>
        <w:tc>
          <w:tcPr>
            <w:tcW w:w="428" w:type="pct"/>
            <w:tcBorders>
              <w:top w:val="nil"/>
              <w:bottom w:val="nil"/>
            </w:tcBorders>
            <w:noWrap/>
          </w:tcPr>
          <w:p w14:paraId="6BF19D8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−7</w:t>
            </w:r>
          </w:p>
        </w:tc>
      </w:tr>
      <w:tr w:rsidR="009F3E29" w:rsidRPr="00966864" w14:paraId="41809886" w14:textId="77777777" w:rsidTr="00F211A9">
        <w:tc>
          <w:tcPr>
            <w:tcW w:w="1016" w:type="pct"/>
            <w:tcBorders>
              <w:top w:val="nil"/>
              <w:bottom w:val="nil"/>
            </w:tcBorders>
            <w:noWrap/>
          </w:tcPr>
          <w:p w14:paraId="02945758"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All hospital costs +25%</w:t>
            </w:r>
          </w:p>
        </w:tc>
        <w:tc>
          <w:tcPr>
            <w:tcW w:w="347" w:type="pct"/>
            <w:tcBorders>
              <w:top w:val="nil"/>
              <w:bottom w:val="nil"/>
            </w:tcBorders>
            <w:noWrap/>
          </w:tcPr>
          <w:p w14:paraId="0FE77E5F"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tcBorders>
              <w:top w:val="nil"/>
              <w:bottom w:val="nil"/>
            </w:tcBorders>
            <w:noWrap/>
          </w:tcPr>
          <w:p w14:paraId="3EE7CD3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0.1392</w:t>
            </w:r>
          </w:p>
        </w:tc>
        <w:tc>
          <w:tcPr>
            <w:tcW w:w="401" w:type="pct"/>
            <w:tcBorders>
              <w:top w:val="nil"/>
              <w:bottom w:val="nil"/>
            </w:tcBorders>
            <w:noWrap/>
          </w:tcPr>
          <w:p w14:paraId="5DB8AB7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1097EBE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0.1376</w:t>
            </w:r>
          </w:p>
        </w:tc>
        <w:tc>
          <w:tcPr>
            <w:tcW w:w="401" w:type="pct"/>
            <w:tcBorders>
              <w:top w:val="nil"/>
              <w:bottom w:val="nil"/>
            </w:tcBorders>
            <w:noWrap/>
          </w:tcPr>
          <w:p w14:paraId="2F428CD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tcBorders>
              <w:top w:val="nil"/>
              <w:bottom w:val="nil"/>
            </w:tcBorders>
            <w:noWrap/>
          </w:tcPr>
          <w:p w14:paraId="2721A7E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C$2772</w:t>
            </w:r>
          </w:p>
        </w:tc>
        <w:tc>
          <w:tcPr>
            <w:tcW w:w="401" w:type="pct"/>
            <w:tcBorders>
              <w:top w:val="nil"/>
              <w:bottom w:val="nil"/>
            </w:tcBorders>
            <w:noWrap/>
          </w:tcPr>
          <w:p w14:paraId="5132878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(C$2043, C$3615)</w:t>
            </w:r>
          </w:p>
        </w:tc>
        <w:tc>
          <w:tcPr>
            <w:tcW w:w="401" w:type="pct"/>
            <w:tcBorders>
              <w:top w:val="nil"/>
              <w:bottom w:val="nil"/>
            </w:tcBorders>
            <w:noWrap/>
          </w:tcPr>
          <w:p w14:paraId="1A854A1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C$20,141</w:t>
            </w:r>
          </w:p>
        </w:tc>
        <w:tc>
          <w:tcPr>
            <w:tcW w:w="401" w:type="pct"/>
            <w:tcBorders>
              <w:top w:val="nil"/>
              <w:bottom w:val="nil"/>
            </w:tcBorders>
            <w:noWrap/>
          </w:tcPr>
          <w:p w14:paraId="067903B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(C$15,492, C$27,733)</w:t>
            </w:r>
          </w:p>
        </w:tc>
        <w:tc>
          <w:tcPr>
            <w:tcW w:w="428" w:type="pct"/>
            <w:tcBorders>
              <w:top w:val="nil"/>
              <w:bottom w:val="nil"/>
            </w:tcBorders>
            <w:noWrap/>
          </w:tcPr>
          <w:p w14:paraId="6B91554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6</w:t>
            </w:r>
          </w:p>
        </w:tc>
      </w:tr>
      <w:tr w:rsidR="009F3E29" w:rsidRPr="00966864" w14:paraId="56755061" w14:textId="77777777" w:rsidTr="00F211A9">
        <w:tc>
          <w:tcPr>
            <w:tcW w:w="1016" w:type="pct"/>
            <w:tcBorders>
              <w:top w:val="nil"/>
              <w:bottom w:val="nil"/>
            </w:tcBorders>
            <w:noWrap/>
          </w:tcPr>
          <w:p w14:paraId="7D681488"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All physician visits −25%</w:t>
            </w:r>
          </w:p>
        </w:tc>
        <w:tc>
          <w:tcPr>
            <w:tcW w:w="347" w:type="pct"/>
            <w:tcBorders>
              <w:top w:val="nil"/>
              <w:bottom w:val="nil"/>
            </w:tcBorders>
            <w:noWrap/>
          </w:tcPr>
          <w:p w14:paraId="1CE8AD07"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tcBorders>
              <w:top w:val="nil"/>
              <w:bottom w:val="nil"/>
            </w:tcBorders>
            <w:noWrap/>
          </w:tcPr>
          <w:p w14:paraId="2542B6B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0.1395</w:t>
            </w:r>
          </w:p>
        </w:tc>
        <w:tc>
          <w:tcPr>
            <w:tcW w:w="401" w:type="pct"/>
            <w:tcBorders>
              <w:top w:val="nil"/>
              <w:bottom w:val="nil"/>
            </w:tcBorders>
            <w:noWrap/>
          </w:tcPr>
          <w:p w14:paraId="0B67734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1ABE2F8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0.1380</w:t>
            </w:r>
          </w:p>
        </w:tc>
        <w:tc>
          <w:tcPr>
            <w:tcW w:w="401" w:type="pct"/>
            <w:tcBorders>
              <w:top w:val="nil"/>
              <w:bottom w:val="nil"/>
            </w:tcBorders>
            <w:noWrap/>
          </w:tcPr>
          <w:p w14:paraId="0D3130F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(010, 0.18)</w:t>
            </w:r>
          </w:p>
        </w:tc>
        <w:tc>
          <w:tcPr>
            <w:tcW w:w="401" w:type="pct"/>
            <w:tcBorders>
              <w:top w:val="nil"/>
              <w:bottom w:val="nil"/>
            </w:tcBorders>
            <w:noWrap/>
          </w:tcPr>
          <w:p w14:paraId="333164E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C$2601</w:t>
            </w:r>
          </w:p>
        </w:tc>
        <w:tc>
          <w:tcPr>
            <w:tcW w:w="401" w:type="pct"/>
            <w:tcBorders>
              <w:top w:val="nil"/>
              <w:bottom w:val="nil"/>
            </w:tcBorders>
            <w:noWrap/>
          </w:tcPr>
          <w:p w14:paraId="08F8C99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(C$2005, C$3286)</w:t>
            </w:r>
          </w:p>
        </w:tc>
        <w:tc>
          <w:tcPr>
            <w:tcW w:w="401" w:type="pct"/>
            <w:tcBorders>
              <w:top w:val="nil"/>
              <w:bottom w:val="nil"/>
            </w:tcBorders>
            <w:noWrap/>
          </w:tcPr>
          <w:p w14:paraId="4B5A46E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C$18,842</w:t>
            </w:r>
          </w:p>
        </w:tc>
        <w:tc>
          <w:tcPr>
            <w:tcW w:w="401" w:type="pct"/>
            <w:tcBorders>
              <w:top w:val="nil"/>
              <w:bottom w:val="nil"/>
            </w:tcBorders>
            <w:noWrap/>
          </w:tcPr>
          <w:p w14:paraId="615EC35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(C$14,649, C$25,430)</w:t>
            </w:r>
          </w:p>
        </w:tc>
        <w:tc>
          <w:tcPr>
            <w:tcW w:w="428" w:type="pct"/>
            <w:tcBorders>
              <w:top w:val="nil"/>
              <w:bottom w:val="nil"/>
            </w:tcBorders>
            <w:noWrap/>
          </w:tcPr>
          <w:p w14:paraId="0B79B08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−1</w:t>
            </w:r>
          </w:p>
        </w:tc>
      </w:tr>
      <w:tr w:rsidR="009F3E29" w:rsidRPr="00966864" w14:paraId="0CBEF983" w14:textId="77777777" w:rsidTr="00F211A9">
        <w:tc>
          <w:tcPr>
            <w:tcW w:w="1016" w:type="pct"/>
            <w:tcBorders>
              <w:top w:val="nil"/>
              <w:bottom w:val="nil"/>
            </w:tcBorders>
            <w:noWrap/>
          </w:tcPr>
          <w:p w14:paraId="6D997B51"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All physician visits +25%</w:t>
            </w:r>
          </w:p>
        </w:tc>
        <w:tc>
          <w:tcPr>
            <w:tcW w:w="347" w:type="pct"/>
            <w:tcBorders>
              <w:top w:val="nil"/>
              <w:bottom w:val="nil"/>
            </w:tcBorders>
            <w:noWrap/>
          </w:tcPr>
          <w:p w14:paraId="341CC9B6"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tcBorders>
              <w:top w:val="nil"/>
              <w:bottom w:val="nil"/>
            </w:tcBorders>
            <w:noWrap/>
          </w:tcPr>
          <w:p w14:paraId="4F732B8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0.1392</w:t>
            </w:r>
          </w:p>
        </w:tc>
        <w:tc>
          <w:tcPr>
            <w:tcW w:w="401" w:type="pct"/>
            <w:tcBorders>
              <w:top w:val="nil"/>
              <w:bottom w:val="nil"/>
            </w:tcBorders>
            <w:noWrap/>
          </w:tcPr>
          <w:p w14:paraId="105A914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nil"/>
            </w:tcBorders>
            <w:noWrap/>
          </w:tcPr>
          <w:p w14:paraId="7D84D89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0.1373</w:t>
            </w:r>
          </w:p>
        </w:tc>
        <w:tc>
          <w:tcPr>
            <w:tcW w:w="401" w:type="pct"/>
            <w:tcBorders>
              <w:top w:val="nil"/>
              <w:bottom w:val="nil"/>
            </w:tcBorders>
            <w:noWrap/>
          </w:tcPr>
          <w:p w14:paraId="6C76EE3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tcBorders>
              <w:top w:val="nil"/>
              <w:bottom w:val="nil"/>
            </w:tcBorders>
            <w:noWrap/>
          </w:tcPr>
          <w:p w14:paraId="299E163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C$2600</w:t>
            </w:r>
          </w:p>
        </w:tc>
        <w:tc>
          <w:tcPr>
            <w:tcW w:w="401" w:type="pct"/>
            <w:tcBorders>
              <w:top w:val="nil"/>
              <w:bottom w:val="nil"/>
            </w:tcBorders>
            <w:noWrap/>
          </w:tcPr>
          <w:p w14:paraId="30C617A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(C$2007, C$3293)</w:t>
            </w:r>
          </w:p>
        </w:tc>
        <w:tc>
          <w:tcPr>
            <w:tcW w:w="401" w:type="pct"/>
            <w:tcBorders>
              <w:top w:val="nil"/>
              <w:bottom w:val="nil"/>
            </w:tcBorders>
            <w:noWrap/>
          </w:tcPr>
          <w:p w14:paraId="3A86A1A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C$18,941</w:t>
            </w:r>
          </w:p>
        </w:tc>
        <w:tc>
          <w:tcPr>
            <w:tcW w:w="401" w:type="pct"/>
            <w:tcBorders>
              <w:top w:val="nil"/>
              <w:bottom w:val="nil"/>
            </w:tcBorders>
            <w:noWrap/>
          </w:tcPr>
          <w:p w14:paraId="59F3ABA0"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(C$14,693, C$25,664)</w:t>
            </w:r>
          </w:p>
        </w:tc>
        <w:tc>
          <w:tcPr>
            <w:tcW w:w="428" w:type="pct"/>
            <w:tcBorders>
              <w:top w:val="nil"/>
              <w:bottom w:val="nil"/>
            </w:tcBorders>
            <w:noWrap/>
          </w:tcPr>
          <w:p w14:paraId="740C08E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w:t>
            </w:r>
          </w:p>
        </w:tc>
      </w:tr>
      <w:tr w:rsidR="009F3E29" w:rsidRPr="00966864" w14:paraId="769A8074" w14:textId="77777777" w:rsidTr="00F211A9">
        <w:tc>
          <w:tcPr>
            <w:tcW w:w="1016" w:type="pct"/>
            <w:tcBorders>
              <w:top w:val="nil"/>
              <w:bottom w:val="single" w:sz="4" w:space="0" w:color="auto"/>
            </w:tcBorders>
            <w:noWrap/>
          </w:tcPr>
          <w:p w14:paraId="1576DDD9"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Predicted utility value in each cycle increased by 10% </w:t>
            </w:r>
          </w:p>
        </w:tc>
        <w:tc>
          <w:tcPr>
            <w:tcW w:w="347" w:type="pct"/>
            <w:tcBorders>
              <w:top w:val="nil"/>
              <w:bottom w:val="single" w:sz="4" w:space="0" w:color="auto"/>
            </w:tcBorders>
            <w:noWrap/>
          </w:tcPr>
          <w:p w14:paraId="0C299DB6"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tcBorders>
              <w:top w:val="nil"/>
              <w:bottom w:val="single" w:sz="4" w:space="0" w:color="auto"/>
            </w:tcBorders>
            <w:noWrap/>
          </w:tcPr>
          <w:p w14:paraId="3393F45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0.1393</w:t>
            </w:r>
          </w:p>
        </w:tc>
        <w:tc>
          <w:tcPr>
            <w:tcW w:w="401" w:type="pct"/>
            <w:tcBorders>
              <w:top w:val="nil"/>
              <w:bottom w:val="single" w:sz="4" w:space="0" w:color="auto"/>
            </w:tcBorders>
            <w:noWrap/>
          </w:tcPr>
          <w:p w14:paraId="4E122B7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tcBorders>
              <w:top w:val="nil"/>
              <w:bottom w:val="single" w:sz="4" w:space="0" w:color="auto"/>
            </w:tcBorders>
            <w:noWrap/>
          </w:tcPr>
          <w:p w14:paraId="2A1A36F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0.1513</w:t>
            </w:r>
          </w:p>
        </w:tc>
        <w:tc>
          <w:tcPr>
            <w:tcW w:w="401" w:type="pct"/>
            <w:tcBorders>
              <w:top w:val="nil"/>
              <w:bottom w:val="single" w:sz="4" w:space="0" w:color="auto"/>
            </w:tcBorders>
            <w:noWrap/>
          </w:tcPr>
          <w:p w14:paraId="4ABC820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(0.10, 0.20)</w:t>
            </w:r>
          </w:p>
        </w:tc>
        <w:tc>
          <w:tcPr>
            <w:tcW w:w="401" w:type="pct"/>
            <w:tcBorders>
              <w:top w:val="nil"/>
              <w:bottom w:val="single" w:sz="4" w:space="0" w:color="auto"/>
            </w:tcBorders>
            <w:noWrap/>
          </w:tcPr>
          <w:p w14:paraId="3CD5BCA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C$2606</w:t>
            </w:r>
          </w:p>
        </w:tc>
        <w:tc>
          <w:tcPr>
            <w:tcW w:w="401" w:type="pct"/>
            <w:tcBorders>
              <w:top w:val="nil"/>
              <w:bottom w:val="single" w:sz="4" w:space="0" w:color="auto"/>
            </w:tcBorders>
            <w:noWrap/>
          </w:tcPr>
          <w:p w14:paraId="6EB4537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(C$2005, C$3290)</w:t>
            </w:r>
          </w:p>
        </w:tc>
        <w:tc>
          <w:tcPr>
            <w:tcW w:w="401" w:type="pct"/>
            <w:tcBorders>
              <w:top w:val="nil"/>
              <w:bottom w:val="single" w:sz="4" w:space="0" w:color="auto"/>
            </w:tcBorders>
            <w:noWrap/>
          </w:tcPr>
          <w:p w14:paraId="16F42BB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C$17,220</w:t>
            </w:r>
          </w:p>
        </w:tc>
        <w:tc>
          <w:tcPr>
            <w:tcW w:w="401" w:type="pct"/>
            <w:tcBorders>
              <w:top w:val="nil"/>
              <w:bottom w:val="single" w:sz="4" w:space="0" w:color="auto"/>
            </w:tcBorders>
            <w:noWrap/>
          </w:tcPr>
          <w:p w14:paraId="303EF490"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(C$13,506, C$23,471)</w:t>
            </w:r>
          </w:p>
        </w:tc>
        <w:tc>
          <w:tcPr>
            <w:tcW w:w="428" w:type="pct"/>
            <w:tcBorders>
              <w:top w:val="nil"/>
              <w:bottom w:val="single" w:sz="4" w:space="0" w:color="auto"/>
            </w:tcBorders>
            <w:noWrap/>
          </w:tcPr>
          <w:p w14:paraId="7A38F84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−9</w:t>
            </w:r>
          </w:p>
        </w:tc>
      </w:tr>
      <w:tr w:rsidR="009F3E29" w:rsidRPr="00966864" w14:paraId="6C1CAD52" w14:textId="77777777" w:rsidTr="00F211A9">
        <w:tc>
          <w:tcPr>
            <w:tcW w:w="1016" w:type="pct"/>
            <w:tcBorders>
              <w:top w:val="single" w:sz="4" w:space="0" w:color="auto"/>
              <w:bottom w:val="single" w:sz="4" w:space="0" w:color="auto"/>
            </w:tcBorders>
            <w:noWrap/>
          </w:tcPr>
          <w:p w14:paraId="203EE44B" w14:textId="77777777" w:rsidR="009F3E29" w:rsidRPr="00966864" w:rsidRDefault="009F3E29" w:rsidP="009F3E29">
            <w:pPr>
              <w:spacing w:before="30" w:after="30" w:line="240" w:lineRule="auto"/>
              <w:rPr>
                <w:rFonts w:ascii="Arial" w:eastAsia="Calibri" w:hAnsi="Arial" w:cs="Arial"/>
                <w:b/>
                <w:bCs/>
                <w:sz w:val="16"/>
                <w:szCs w:val="16"/>
                <w:lang w:eastAsia="en-GB"/>
              </w:rPr>
            </w:pPr>
            <w:r w:rsidRPr="00966864">
              <w:rPr>
                <w:rFonts w:ascii="Arial" w:eastAsia="Calibri" w:hAnsi="Arial" w:cs="Arial"/>
                <w:b/>
                <w:bCs/>
                <w:sz w:val="16"/>
                <w:szCs w:val="16"/>
                <w:lang w:eastAsia="en-GB"/>
              </w:rPr>
              <w:t>Scenario analyses</w:t>
            </w:r>
          </w:p>
        </w:tc>
        <w:tc>
          <w:tcPr>
            <w:tcW w:w="347" w:type="pct"/>
            <w:tcBorders>
              <w:top w:val="single" w:sz="4" w:space="0" w:color="auto"/>
              <w:bottom w:val="single" w:sz="4" w:space="0" w:color="auto"/>
            </w:tcBorders>
            <w:noWrap/>
          </w:tcPr>
          <w:p w14:paraId="27C8D85B"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tcBorders>
              <w:top w:val="single" w:sz="4" w:space="0" w:color="auto"/>
              <w:bottom w:val="single" w:sz="4" w:space="0" w:color="auto"/>
            </w:tcBorders>
            <w:noWrap/>
          </w:tcPr>
          <w:p w14:paraId="5F20DCF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single" w:sz="4" w:space="0" w:color="auto"/>
            </w:tcBorders>
            <w:noWrap/>
          </w:tcPr>
          <w:p w14:paraId="0ACAF67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single" w:sz="4" w:space="0" w:color="auto"/>
            </w:tcBorders>
            <w:noWrap/>
          </w:tcPr>
          <w:p w14:paraId="275EB05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single" w:sz="4" w:space="0" w:color="auto"/>
            </w:tcBorders>
            <w:noWrap/>
          </w:tcPr>
          <w:p w14:paraId="769FC36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single" w:sz="4" w:space="0" w:color="auto"/>
            </w:tcBorders>
            <w:noWrap/>
          </w:tcPr>
          <w:p w14:paraId="6A1869C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single" w:sz="4" w:space="0" w:color="auto"/>
            </w:tcBorders>
            <w:noWrap/>
          </w:tcPr>
          <w:p w14:paraId="459E36C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single" w:sz="4" w:space="0" w:color="auto"/>
            </w:tcBorders>
            <w:noWrap/>
          </w:tcPr>
          <w:p w14:paraId="61A8616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01" w:type="pct"/>
            <w:tcBorders>
              <w:top w:val="single" w:sz="4" w:space="0" w:color="auto"/>
              <w:bottom w:val="single" w:sz="4" w:space="0" w:color="auto"/>
            </w:tcBorders>
            <w:noWrap/>
          </w:tcPr>
          <w:p w14:paraId="13AEC3C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c>
          <w:tcPr>
            <w:tcW w:w="428" w:type="pct"/>
            <w:tcBorders>
              <w:top w:val="single" w:sz="4" w:space="0" w:color="auto"/>
              <w:bottom w:val="single" w:sz="4" w:space="0" w:color="auto"/>
            </w:tcBorders>
            <w:noWrap/>
          </w:tcPr>
          <w:p w14:paraId="329A7F9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p>
        </w:tc>
      </w:tr>
      <w:tr w:rsidR="009F3E29" w:rsidRPr="00966864" w14:paraId="1C5FD697" w14:textId="77777777" w:rsidTr="00F211A9">
        <w:tc>
          <w:tcPr>
            <w:tcW w:w="1016" w:type="pct"/>
            <w:tcBorders>
              <w:top w:val="single" w:sz="4" w:space="0" w:color="auto"/>
            </w:tcBorders>
            <w:noWrap/>
          </w:tcPr>
          <w:p w14:paraId="23322637"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5-year time horizon</w:t>
            </w:r>
          </w:p>
        </w:tc>
        <w:tc>
          <w:tcPr>
            <w:tcW w:w="347" w:type="pct"/>
            <w:tcBorders>
              <w:top w:val="single" w:sz="4" w:space="0" w:color="auto"/>
            </w:tcBorders>
            <w:noWrap/>
          </w:tcPr>
          <w:p w14:paraId="55F0D688"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tcBorders>
              <w:top w:val="single" w:sz="4" w:space="0" w:color="auto"/>
            </w:tcBorders>
            <w:noWrap/>
          </w:tcPr>
          <w:p w14:paraId="1363155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0.0287</w:t>
            </w:r>
          </w:p>
        </w:tc>
        <w:tc>
          <w:tcPr>
            <w:tcW w:w="401" w:type="pct"/>
            <w:tcBorders>
              <w:top w:val="single" w:sz="4" w:space="0" w:color="auto"/>
            </w:tcBorders>
            <w:noWrap/>
          </w:tcPr>
          <w:p w14:paraId="5B36A70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(0.01, 0.05)</w:t>
            </w:r>
          </w:p>
        </w:tc>
        <w:tc>
          <w:tcPr>
            <w:tcW w:w="401" w:type="pct"/>
            <w:tcBorders>
              <w:top w:val="single" w:sz="4" w:space="0" w:color="auto"/>
            </w:tcBorders>
            <w:noWrap/>
          </w:tcPr>
          <w:p w14:paraId="5AB3DF5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0.0676</w:t>
            </w:r>
          </w:p>
        </w:tc>
        <w:tc>
          <w:tcPr>
            <w:tcW w:w="401" w:type="pct"/>
            <w:tcBorders>
              <w:top w:val="single" w:sz="4" w:space="0" w:color="auto"/>
            </w:tcBorders>
            <w:noWrap/>
          </w:tcPr>
          <w:p w14:paraId="418BCDD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(0.05, 0.09)</w:t>
            </w:r>
          </w:p>
        </w:tc>
        <w:tc>
          <w:tcPr>
            <w:tcW w:w="401" w:type="pct"/>
            <w:tcBorders>
              <w:top w:val="single" w:sz="4" w:space="0" w:color="auto"/>
            </w:tcBorders>
            <w:noWrap/>
          </w:tcPr>
          <w:p w14:paraId="2B659F8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C$1609</w:t>
            </w:r>
          </w:p>
        </w:tc>
        <w:tc>
          <w:tcPr>
            <w:tcW w:w="401" w:type="pct"/>
            <w:tcBorders>
              <w:top w:val="single" w:sz="4" w:space="0" w:color="auto"/>
            </w:tcBorders>
            <w:noWrap/>
          </w:tcPr>
          <w:p w14:paraId="74A4FA3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(C$1347, C$1905)</w:t>
            </w:r>
          </w:p>
        </w:tc>
        <w:tc>
          <w:tcPr>
            <w:tcW w:w="401" w:type="pct"/>
            <w:tcBorders>
              <w:top w:val="single" w:sz="4" w:space="0" w:color="auto"/>
            </w:tcBorders>
            <w:noWrap/>
          </w:tcPr>
          <w:p w14:paraId="7821095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C$23,800</w:t>
            </w:r>
          </w:p>
        </w:tc>
        <w:tc>
          <w:tcPr>
            <w:tcW w:w="401" w:type="pct"/>
            <w:tcBorders>
              <w:top w:val="single" w:sz="4" w:space="0" w:color="auto"/>
            </w:tcBorders>
            <w:noWrap/>
          </w:tcPr>
          <w:p w14:paraId="266F5EB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(C$17,301, C$34,697)</w:t>
            </w:r>
          </w:p>
        </w:tc>
        <w:tc>
          <w:tcPr>
            <w:tcW w:w="428" w:type="pct"/>
            <w:tcBorders>
              <w:top w:val="single" w:sz="4" w:space="0" w:color="auto"/>
            </w:tcBorders>
            <w:noWrap/>
          </w:tcPr>
          <w:p w14:paraId="19924B4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25</w:t>
            </w:r>
          </w:p>
        </w:tc>
      </w:tr>
      <w:tr w:rsidR="009F3E29" w:rsidRPr="00966864" w14:paraId="5CE3FD7F" w14:textId="77777777" w:rsidTr="00F211A9">
        <w:tc>
          <w:tcPr>
            <w:tcW w:w="1016" w:type="pct"/>
            <w:noWrap/>
          </w:tcPr>
          <w:p w14:paraId="23B81DDF"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10-year time horizon</w:t>
            </w:r>
          </w:p>
        </w:tc>
        <w:tc>
          <w:tcPr>
            <w:tcW w:w="347" w:type="pct"/>
            <w:noWrap/>
          </w:tcPr>
          <w:p w14:paraId="695EC4A2"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noWrap/>
          </w:tcPr>
          <w:p w14:paraId="73AA65C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0.0872</w:t>
            </w:r>
          </w:p>
        </w:tc>
        <w:tc>
          <w:tcPr>
            <w:tcW w:w="401" w:type="pct"/>
            <w:noWrap/>
          </w:tcPr>
          <w:p w14:paraId="6B0F3E7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(0.04, 0.14)</w:t>
            </w:r>
          </w:p>
        </w:tc>
        <w:tc>
          <w:tcPr>
            <w:tcW w:w="401" w:type="pct"/>
            <w:noWrap/>
          </w:tcPr>
          <w:p w14:paraId="42DD081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0.1129</w:t>
            </w:r>
          </w:p>
        </w:tc>
        <w:tc>
          <w:tcPr>
            <w:tcW w:w="401" w:type="pct"/>
            <w:noWrap/>
          </w:tcPr>
          <w:p w14:paraId="348B591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(0.08, 0.15)</w:t>
            </w:r>
          </w:p>
        </w:tc>
        <w:tc>
          <w:tcPr>
            <w:tcW w:w="401" w:type="pct"/>
            <w:noWrap/>
          </w:tcPr>
          <w:p w14:paraId="60E62DF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C$2208</w:t>
            </w:r>
          </w:p>
        </w:tc>
        <w:tc>
          <w:tcPr>
            <w:tcW w:w="401" w:type="pct"/>
            <w:noWrap/>
          </w:tcPr>
          <w:p w14:paraId="797EF9D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(C$1736, C$2729)</w:t>
            </w:r>
          </w:p>
        </w:tc>
        <w:tc>
          <w:tcPr>
            <w:tcW w:w="401" w:type="pct"/>
            <w:noWrap/>
          </w:tcPr>
          <w:p w14:paraId="17433FB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C$19,551</w:t>
            </w:r>
          </w:p>
        </w:tc>
        <w:tc>
          <w:tcPr>
            <w:tcW w:w="401" w:type="pct"/>
            <w:noWrap/>
          </w:tcPr>
          <w:p w14:paraId="09EF1E9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(C$14,813, C$27,419)</w:t>
            </w:r>
          </w:p>
        </w:tc>
        <w:tc>
          <w:tcPr>
            <w:tcW w:w="428" w:type="pct"/>
            <w:noWrap/>
          </w:tcPr>
          <w:p w14:paraId="3574CCD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3</w:t>
            </w:r>
          </w:p>
        </w:tc>
      </w:tr>
      <w:tr w:rsidR="009F3E29" w:rsidRPr="00966864" w14:paraId="2694F379" w14:textId="77777777" w:rsidTr="00F211A9">
        <w:tc>
          <w:tcPr>
            <w:tcW w:w="1016" w:type="pct"/>
            <w:noWrap/>
          </w:tcPr>
          <w:p w14:paraId="3180C85B"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Discount rate 0%</w:t>
            </w:r>
          </w:p>
        </w:tc>
        <w:tc>
          <w:tcPr>
            <w:tcW w:w="347" w:type="pct"/>
            <w:noWrap/>
          </w:tcPr>
          <w:p w14:paraId="34930F05"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noWrap/>
          </w:tcPr>
          <w:p w14:paraId="08B402F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0.1395</w:t>
            </w:r>
          </w:p>
        </w:tc>
        <w:tc>
          <w:tcPr>
            <w:tcW w:w="401" w:type="pct"/>
            <w:noWrap/>
          </w:tcPr>
          <w:p w14:paraId="7CE38B6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noWrap/>
          </w:tcPr>
          <w:p w14:paraId="406728E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0.1499</w:t>
            </w:r>
          </w:p>
        </w:tc>
        <w:tc>
          <w:tcPr>
            <w:tcW w:w="401" w:type="pct"/>
            <w:noWrap/>
          </w:tcPr>
          <w:p w14:paraId="509850B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(0.10, 0.20)</w:t>
            </w:r>
          </w:p>
        </w:tc>
        <w:tc>
          <w:tcPr>
            <w:tcW w:w="401" w:type="pct"/>
            <w:noWrap/>
          </w:tcPr>
          <w:p w14:paraId="7E5DB540"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C$2790</w:t>
            </w:r>
          </w:p>
        </w:tc>
        <w:tc>
          <w:tcPr>
            <w:tcW w:w="401" w:type="pct"/>
            <w:noWrap/>
            <w:vAlign w:val="center"/>
          </w:tcPr>
          <w:p w14:paraId="6BFF559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(C$2139, C$3527)</w:t>
            </w:r>
          </w:p>
        </w:tc>
        <w:tc>
          <w:tcPr>
            <w:tcW w:w="401" w:type="pct"/>
            <w:noWrap/>
          </w:tcPr>
          <w:p w14:paraId="3D83F0C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C$18,611</w:t>
            </w:r>
          </w:p>
        </w:tc>
        <w:tc>
          <w:tcPr>
            <w:tcW w:w="401" w:type="pct"/>
            <w:noWrap/>
            <w:vAlign w:val="bottom"/>
          </w:tcPr>
          <w:p w14:paraId="09B9CC0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(C$14,463, C$25,204)</w:t>
            </w:r>
          </w:p>
        </w:tc>
        <w:tc>
          <w:tcPr>
            <w:tcW w:w="428" w:type="pct"/>
            <w:noWrap/>
          </w:tcPr>
          <w:p w14:paraId="37D5F7E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−2</w:t>
            </w:r>
          </w:p>
        </w:tc>
      </w:tr>
      <w:tr w:rsidR="009F3E29" w:rsidRPr="00966864" w14:paraId="539EE55D" w14:textId="77777777" w:rsidTr="00F211A9">
        <w:tc>
          <w:tcPr>
            <w:tcW w:w="1016" w:type="pct"/>
            <w:noWrap/>
          </w:tcPr>
          <w:p w14:paraId="3B4D4186"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Discount rate 3%</w:t>
            </w:r>
            <w:r w:rsidRPr="00966864">
              <w:rPr>
                <w:rFonts w:ascii="Arial" w:eastAsia="Calibri" w:hAnsi="Arial" w:cs="Arial"/>
                <w:bCs/>
                <w:sz w:val="16"/>
                <w:szCs w:val="16"/>
                <w:lang w:eastAsia="en-GB"/>
              </w:rPr>
              <w:tab/>
            </w:r>
          </w:p>
        </w:tc>
        <w:tc>
          <w:tcPr>
            <w:tcW w:w="347" w:type="pct"/>
            <w:noWrap/>
          </w:tcPr>
          <w:p w14:paraId="1DD77FFB"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noWrap/>
          </w:tcPr>
          <w:p w14:paraId="6F5592E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0.1393</w:t>
            </w:r>
          </w:p>
        </w:tc>
        <w:tc>
          <w:tcPr>
            <w:tcW w:w="401" w:type="pct"/>
            <w:noWrap/>
          </w:tcPr>
          <w:p w14:paraId="40F1962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noWrap/>
          </w:tcPr>
          <w:p w14:paraId="0F199E0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0.1272</w:t>
            </w:r>
          </w:p>
        </w:tc>
        <w:tc>
          <w:tcPr>
            <w:tcW w:w="401" w:type="pct"/>
            <w:noWrap/>
          </w:tcPr>
          <w:p w14:paraId="64D10A5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(0.09, 0.17)</w:t>
            </w:r>
          </w:p>
        </w:tc>
        <w:tc>
          <w:tcPr>
            <w:tcW w:w="401" w:type="pct"/>
            <w:noWrap/>
          </w:tcPr>
          <w:p w14:paraId="4285F56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C$2445</w:t>
            </w:r>
          </w:p>
        </w:tc>
        <w:tc>
          <w:tcPr>
            <w:tcW w:w="401" w:type="pct"/>
            <w:noWrap/>
          </w:tcPr>
          <w:p w14:paraId="282570A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(C$1894, C$3069)</w:t>
            </w:r>
          </w:p>
        </w:tc>
        <w:tc>
          <w:tcPr>
            <w:tcW w:w="401" w:type="pct"/>
            <w:noWrap/>
          </w:tcPr>
          <w:p w14:paraId="3F5F7B8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C$19,231</w:t>
            </w:r>
          </w:p>
        </w:tc>
        <w:tc>
          <w:tcPr>
            <w:tcW w:w="401" w:type="pct"/>
            <w:noWrap/>
          </w:tcPr>
          <w:p w14:paraId="4D12C11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(C$14,992, C$26,173)</w:t>
            </w:r>
          </w:p>
        </w:tc>
        <w:tc>
          <w:tcPr>
            <w:tcW w:w="428" w:type="pct"/>
            <w:noWrap/>
          </w:tcPr>
          <w:p w14:paraId="63872B8E"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1</w:t>
            </w:r>
          </w:p>
        </w:tc>
      </w:tr>
      <w:tr w:rsidR="009F3E29" w:rsidRPr="00966864" w14:paraId="5F27F8F0" w14:textId="77777777" w:rsidTr="00F211A9">
        <w:tc>
          <w:tcPr>
            <w:tcW w:w="1016" w:type="pct"/>
            <w:noWrap/>
          </w:tcPr>
          <w:p w14:paraId="11D20784"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Background exacerbation rate at 50%</w:t>
            </w:r>
          </w:p>
        </w:tc>
        <w:tc>
          <w:tcPr>
            <w:tcW w:w="347" w:type="pct"/>
            <w:noWrap/>
            <w:vAlign w:val="center"/>
          </w:tcPr>
          <w:p w14:paraId="4177078E"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1st cycle reference </w:t>
            </w:r>
            <w:r w:rsidRPr="00966864">
              <w:rPr>
                <w:rFonts w:ascii="Arial" w:eastAsia="Calibri" w:hAnsi="Arial" w:cs="Arial"/>
                <w:bCs/>
                <w:sz w:val="16"/>
                <w:szCs w:val="16"/>
                <w:lang w:eastAsia="en-GB"/>
              </w:rPr>
              <w:lastRenderedPageBreak/>
              <w:t xml:space="preserve">treatment: 0.348 for </w:t>
            </w:r>
            <w:proofErr w:type="spellStart"/>
            <w:r w:rsidRPr="00966864">
              <w:rPr>
                <w:rFonts w:ascii="Arial" w:eastAsia="Calibri" w:hAnsi="Arial" w:cs="Arial"/>
                <w:bCs/>
                <w:sz w:val="16"/>
                <w:szCs w:val="16"/>
                <w:lang w:eastAsia="en-GB"/>
              </w:rPr>
              <w:t>MExac</w:t>
            </w:r>
            <w:proofErr w:type="spellEnd"/>
            <w:r w:rsidRPr="00966864">
              <w:rPr>
                <w:rFonts w:ascii="Arial" w:eastAsia="Calibri" w:hAnsi="Arial" w:cs="Arial"/>
                <w:bCs/>
                <w:sz w:val="16"/>
                <w:szCs w:val="16"/>
                <w:lang w:eastAsia="en-GB"/>
              </w:rPr>
              <w:t xml:space="preserve">; 0.004 for </w:t>
            </w:r>
            <w:proofErr w:type="spellStart"/>
            <w:r w:rsidRPr="00966864">
              <w:rPr>
                <w:rFonts w:ascii="Arial" w:eastAsia="Calibri" w:hAnsi="Arial" w:cs="Arial"/>
                <w:bCs/>
                <w:sz w:val="16"/>
                <w:szCs w:val="16"/>
                <w:lang w:eastAsia="en-GB"/>
              </w:rPr>
              <w:t>SExac</w:t>
            </w:r>
            <w:proofErr w:type="spellEnd"/>
          </w:p>
        </w:tc>
        <w:tc>
          <w:tcPr>
            <w:tcW w:w="401" w:type="pct"/>
            <w:noWrap/>
          </w:tcPr>
          <w:p w14:paraId="0E6999B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lastRenderedPageBreak/>
              <w:t>0.1125</w:t>
            </w:r>
          </w:p>
        </w:tc>
        <w:tc>
          <w:tcPr>
            <w:tcW w:w="401" w:type="pct"/>
            <w:noWrap/>
          </w:tcPr>
          <w:p w14:paraId="043A039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(0.05, 0.17)</w:t>
            </w:r>
          </w:p>
        </w:tc>
        <w:tc>
          <w:tcPr>
            <w:tcW w:w="401" w:type="pct"/>
            <w:noWrap/>
          </w:tcPr>
          <w:p w14:paraId="40A8FEC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0.1243</w:t>
            </w:r>
          </w:p>
        </w:tc>
        <w:tc>
          <w:tcPr>
            <w:tcW w:w="401" w:type="pct"/>
            <w:noWrap/>
          </w:tcPr>
          <w:p w14:paraId="2E436F0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(0.08, 0.17)</w:t>
            </w:r>
          </w:p>
        </w:tc>
        <w:tc>
          <w:tcPr>
            <w:tcW w:w="401" w:type="pct"/>
            <w:noWrap/>
          </w:tcPr>
          <w:p w14:paraId="6C079C6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C$2601</w:t>
            </w:r>
          </w:p>
        </w:tc>
        <w:tc>
          <w:tcPr>
            <w:tcW w:w="401" w:type="pct"/>
            <w:noWrap/>
          </w:tcPr>
          <w:p w14:paraId="7B094B4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 xml:space="preserve">(C$2163, </w:t>
            </w:r>
            <w:r w:rsidRPr="00966864">
              <w:rPr>
                <w:rFonts w:ascii="Arial" w:eastAsia="Calibri" w:hAnsi="Arial" w:cs="Arial"/>
                <w:bCs/>
                <w:sz w:val="16"/>
                <w:szCs w:val="16"/>
                <w:lang w:eastAsia="en-GB"/>
              </w:rPr>
              <w:lastRenderedPageBreak/>
              <w:t>C$3123)</w:t>
            </w:r>
          </w:p>
        </w:tc>
        <w:tc>
          <w:tcPr>
            <w:tcW w:w="401" w:type="pct"/>
            <w:noWrap/>
          </w:tcPr>
          <w:p w14:paraId="2E9AC84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lastRenderedPageBreak/>
              <w:t>C$20,919</w:t>
            </w:r>
          </w:p>
        </w:tc>
        <w:tc>
          <w:tcPr>
            <w:tcW w:w="401" w:type="pct"/>
            <w:noWrap/>
          </w:tcPr>
          <w:p w14:paraId="030216A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 xml:space="preserve">(C$16,709, </w:t>
            </w:r>
            <w:r w:rsidRPr="00966864">
              <w:rPr>
                <w:rFonts w:ascii="Arial" w:eastAsia="Calibri" w:hAnsi="Arial" w:cs="Arial"/>
                <w:bCs/>
                <w:sz w:val="16"/>
                <w:szCs w:val="16"/>
                <w:lang w:eastAsia="en-GB"/>
              </w:rPr>
              <w:lastRenderedPageBreak/>
              <w:t>C$27,976)</w:t>
            </w:r>
          </w:p>
        </w:tc>
        <w:tc>
          <w:tcPr>
            <w:tcW w:w="428" w:type="pct"/>
            <w:noWrap/>
          </w:tcPr>
          <w:p w14:paraId="022BA36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lastRenderedPageBreak/>
              <w:t>10</w:t>
            </w:r>
          </w:p>
        </w:tc>
      </w:tr>
      <w:tr w:rsidR="009F3E29" w:rsidRPr="00966864" w14:paraId="7EA49706" w14:textId="77777777" w:rsidTr="00F211A9">
        <w:tc>
          <w:tcPr>
            <w:tcW w:w="1016" w:type="pct"/>
            <w:noWrap/>
          </w:tcPr>
          <w:p w14:paraId="1B85F636"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Background exacerbation rate at 200%</w:t>
            </w:r>
          </w:p>
        </w:tc>
        <w:tc>
          <w:tcPr>
            <w:tcW w:w="347" w:type="pct"/>
            <w:noWrap/>
            <w:vAlign w:val="center"/>
          </w:tcPr>
          <w:p w14:paraId="7D433E72"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1st cycle reference treatment: 2.632 for </w:t>
            </w:r>
            <w:proofErr w:type="spellStart"/>
            <w:r w:rsidRPr="00966864">
              <w:rPr>
                <w:rFonts w:ascii="Arial" w:eastAsia="Calibri" w:hAnsi="Arial" w:cs="Arial"/>
                <w:bCs/>
                <w:sz w:val="16"/>
                <w:szCs w:val="16"/>
                <w:lang w:eastAsia="en-GB"/>
              </w:rPr>
              <w:t>MExac</w:t>
            </w:r>
            <w:proofErr w:type="spellEnd"/>
            <w:r w:rsidRPr="00966864">
              <w:rPr>
                <w:rFonts w:ascii="Arial" w:eastAsia="Calibri" w:hAnsi="Arial" w:cs="Arial"/>
                <w:bCs/>
                <w:sz w:val="16"/>
                <w:szCs w:val="16"/>
                <w:lang w:eastAsia="en-GB"/>
              </w:rPr>
              <w:t xml:space="preserve">; 1.735 for </w:t>
            </w:r>
            <w:proofErr w:type="spellStart"/>
            <w:r w:rsidRPr="00966864">
              <w:rPr>
                <w:rFonts w:ascii="Arial" w:eastAsia="Calibri" w:hAnsi="Arial" w:cs="Arial"/>
                <w:bCs/>
                <w:sz w:val="16"/>
                <w:szCs w:val="16"/>
                <w:lang w:eastAsia="en-GB"/>
              </w:rPr>
              <w:t>SExac</w:t>
            </w:r>
            <w:proofErr w:type="spellEnd"/>
          </w:p>
        </w:tc>
        <w:tc>
          <w:tcPr>
            <w:tcW w:w="401" w:type="pct"/>
            <w:noWrap/>
          </w:tcPr>
          <w:p w14:paraId="17BF8A8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0.2005</w:t>
            </w:r>
          </w:p>
        </w:tc>
        <w:tc>
          <w:tcPr>
            <w:tcW w:w="401" w:type="pct"/>
            <w:noWrap/>
          </w:tcPr>
          <w:p w14:paraId="2A326BA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(0.05, 0.34)</w:t>
            </w:r>
          </w:p>
        </w:tc>
        <w:tc>
          <w:tcPr>
            <w:tcW w:w="401" w:type="pct"/>
            <w:noWrap/>
          </w:tcPr>
          <w:p w14:paraId="6B57F2B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0.1648</w:t>
            </w:r>
          </w:p>
        </w:tc>
        <w:tc>
          <w:tcPr>
            <w:tcW w:w="401" w:type="pct"/>
            <w:noWrap/>
          </w:tcPr>
          <w:p w14:paraId="2807B15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(0.10, 0.25)</w:t>
            </w:r>
          </w:p>
        </w:tc>
        <w:tc>
          <w:tcPr>
            <w:tcW w:w="401" w:type="pct"/>
            <w:noWrap/>
          </w:tcPr>
          <w:p w14:paraId="4A2B6CD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−C$862</w:t>
            </w:r>
          </w:p>
        </w:tc>
        <w:tc>
          <w:tcPr>
            <w:tcW w:w="401" w:type="pct"/>
            <w:noWrap/>
          </w:tcPr>
          <w:p w14:paraId="7EFB2ED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(−C$12,870, C$6,712)</w:t>
            </w:r>
          </w:p>
        </w:tc>
        <w:tc>
          <w:tcPr>
            <w:tcW w:w="401" w:type="pct"/>
            <w:noWrap/>
          </w:tcPr>
          <w:p w14:paraId="0541244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Dominant</w:t>
            </w:r>
          </w:p>
        </w:tc>
        <w:tc>
          <w:tcPr>
            <w:tcW w:w="401" w:type="pct"/>
            <w:noWrap/>
          </w:tcPr>
          <w:p w14:paraId="2F18C15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(−C$96,758, C$54,534)</w:t>
            </w:r>
          </w:p>
        </w:tc>
        <w:tc>
          <w:tcPr>
            <w:tcW w:w="428" w:type="pct"/>
            <w:noWrap/>
          </w:tcPr>
          <w:p w14:paraId="63BDAD0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w:t>
            </w:r>
          </w:p>
        </w:tc>
      </w:tr>
      <w:tr w:rsidR="009F3E29" w:rsidRPr="00966864" w14:paraId="4F47A736" w14:textId="77777777" w:rsidTr="00F211A9">
        <w:tc>
          <w:tcPr>
            <w:tcW w:w="1016" w:type="pct"/>
            <w:noWrap/>
          </w:tcPr>
          <w:p w14:paraId="0B42B014"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Treatment discontinuation for subsequent years 0%</w:t>
            </w:r>
          </w:p>
        </w:tc>
        <w:tc>
          <w:tcPr>
            <w:tcW w:w="347" w:type="pct"/>
            <w:noWrap/>
          </w:tcPr>
          <w:p w14:paraId="18699C27"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noWrap/>
          </w:tcPr>
          <w:p w14:paraId="2698301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0.4105</w:t>
            </w:r>
          </w:p>
        </w:tc>
        <w:tc>
          <w:tcPr>
            <w:tcW w:w="401" w:type="pct"/>
            <w:noWrap/>
          </w:tcPr>
          <w:p w14:paraId="377933A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(0.21, 0.63)</w:t>
            </w:r>
          </w:p>
        </w:tc>
        <w:tc>
          <w:tcPr>
            <w:tcW w:w="401" w:type="pct"/>
            <w:noWrap/>
          </w:tcPr>
          <w:p w14:paraId="3FC0477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0.3374</w:t>
            </w:r>
          </w:p>
        </w:tc>
        <w:tc>
          <w:tcPr>
            <w:tcW w:w="401" w:type="pct"/>
            <w:noWrap/>
          </w:tcPr>
          <w:p w14:paraId="4E82955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(0.22, 0.46)</w:t>
            </w:r>
          </w:p>
        </w:tc>
        <w:tc>
          <w:tcPr>
            <w:tcW w:w="401" w:type="pct"/>
            <w:noWrap/>
          </w:tcPr>
          <w:p w14:paraId="02A8272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C$6284</w:t>
            </w:r>
          </w:p>
        </w:tc>
        <w:tc>
          <w:tcPr>
            <w:tcW w:w="401" w:type="pct"/>
            <w:noWrap/>
          </w:tcPr>
          <w:p w14:paraId="07F23F3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(C$4492, C$8460)</w:t>
            </w:r>
          </w:p>
        </w:tc>
        <w:tc>
          <w:tcPr>
            <w:tcW w:w="401" w:type="pct"/>
            <w:noWrap/>
          </w:tcPr>
          <w:p w14:paraId="736FB7C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C$18,626</w:t>
            </w:r>
          </w:p>
        </w:tc>
        <w:tc>
          <w:tcPr>
            <w:tcW w:w="401" w:type="pct"/>
            <w:noWrap/>
          </w:tcPr>
          <w:p w14:paraId="1FE986B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(C$14,352, C$25,190)</w:t>
            </w:r>
          </w:p>
        </w:tc>
        <w:tc>
          <w:tcPr>
            <w:tcW w:w="428" w:type="pct"/>
            <w:noWrap/>
          </w:tcPr>
          <w:p w14:paraId="5CE16E0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−2</w:t>
            </w:r>
          </w:p>
        </w:tc>
      </w:tr>
      <w:tr w:rsidR="009F3E29" w:rsidRPr="00966864" w14:paraId="5E5EB894" w14:textId="77777777" w:rsidTr="00F211A9">
        <w:tc>
          <w:tcPr>
            <w:tcW w:w="1016" w:type="pct"/>
            <w:noWrap/>
          </w:tcPr>
          <w:p w14:paraId="0AE6AF31"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Set treatment effect for subsequent therapies same as SITT</w:t>
            </w:r>
          </w:p>
        </w:tc>
        <w:tc>
          <w:tcPr>
            <w:tcW w:w="347" w:type="pct"/>
            <w:noWrap/>
          </w:tcPr>
          <w:p w14:paraId="4EDBA5D8" w14:textId="77777777" w:rsidR="009F3E29" w:rsidRPr="00966864" w:rsidRDefault="009F3E29" w:rsidP="009F3E29">
            <w:pPr>
              <w:spacing w:before="30" w:after="30" w:line="240" w:lineRule="auto"/>
              <w:rPr>
                <w:rFonts w:ascii="Arial" w:eastAsia="Calibri" w:hAnsi="Arial" w:cs="Arial"/>
                <w:bCs/>
                <w:sz w:val="16"/>
                <w:szCs w:val="16"/>
                <w:lang w:eastAsia="en-GB"/>
              </w:rPr>
            </w:pPr>
          </w:p>
        </w:tc>
        <w:tc>
          <w:tcPr>
            <w:tcW w:w="401" w:type="pct"/>
            <w:noWrap/>
          </w:tcPr>
          <w:p w14:paraId="5B762E6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0.0996</w:t>
            </w:r>
          </w:p>
        </w:tc>
        <w:tc>
          <w:tcPr>
            <w:tcW w:w="401" w:type="pct"/>
            <w:noWrap/>
          </w:tcPr>
          <w:p w14:paraId="5FDF049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(0.05, 0.15)</w:t>
            </w:r>
          </w:p>
        </w:tc>
        <w:tc>
          <w:tcPr>
            <w:tcW w:w="401" w:type="pct"/>
            <w:noWrap/>
          </w:tcPr>
          <w:p w14:paraId="09BF6F7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0.1026</w:t>
            </w:r>
          </w:p>
        </w:tc>
        <w:tc>
          <w:tcPr>
            <w:tcW w:w="401" w:type="pct"/>
            <w:noWrap/>
          </w:tcPr>
          <w:p w14:paraId="10240FE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(0.07, 0.14)</w:t>
            </w:r>
          </w:p>
        </w:tc>
        <w:tc>
          <w:tcPr>
            <w:tcW w:w="401" w:type="pct"/>
            <w:noWrap/>
          </w:tcPr>
          <w:p w14:paraId="5284064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C$2362</w:t>
            </w:r>
          </w:p>
        </w:tc>
        <w:tc>
          <w:tcPr>
            <w:tcW w:w="401" w:type="pct"/>
            <w:noWrap/>
          </w:tcPr>
          <w:p w14:paraId="2DF1FCC8"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(C$1913, C$2877)</w:t>
            </w:r>
          </w:p>
        </w:tc>
        <w:tc>
          <w:tcPr>
            <w:tcW w:w="401" w:type="pct"/>
            <w:noWrap/>
          </w:tcPr>
          <w:p w14:paraId="377B4B7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C$23,025</w:t>
            </w:r>
          </w:p>
        </w:tc>
        <w:tc>
          <w:tcPr>
            <w:tcW w:w="401" w:type="pct"/>
            <w:noWrap/>
          </w:tcPr>
          <w:p w14:paraId="100AE0A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(C$18,241, C$31,265)</w:t>
            </w:r>
          </w:p>
        </w:tc>
        <w:tc>
          <w:tcPr>
            <w:tcW w:w="428" w:type="pct"/>
            <w:noWrap/>
          </w:tcPr>
          <w:p w14:paraId="0C59715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21</w:t>
            </w:r>
          </w:p>
        </w:tc>
      </w:tr>
      <w:tr w:rsidR="009F3E29" w:rsidRPr="00966864" w14:paraId="4C0DB55F" w14:textId="77777777" w:rsidTr="00F211A9">
        <w:tc>
          <w:tcPr>
            <w:tcW w:w="1016" w:type="pct"/>
            <w:noWrap/>
          </w:tcPr>
          <w:p w14:paraId="72DBDDA7"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For subsequent therapies – assume </w:t>
            </w:r>
            <w:r w:rsidRPr="00966864">
              <w:rPr>
                <w:rFonts w:ascii="Arial" w:eastAsia="Calibri" w:hAnsi="Arial" w:cs="Arial"/>
                <w:bCs/>
                <w:sz w:val="16"/>
                <w:szCs w:val="16"/>
                <w:lang w:eastAsia="en-GB"/>
              </w:rPr>
              <w:br/>
              <w:t>100% market share of product with highest cost in each treatment class</w:t>
            </w:r>
          </w:p>
        </w:tc>
        <w:tc>
          <w:tcPr>
            <w:tcW w:w="347" w:type="pct"/>
            <w:noWrap/>
          </w:tcPr>
          <w:p w14:paraId="77D35257"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5.31</w:t>
            </w:r>
          </w:p>
        </w:tc>
        <w:tc>
          <w:tcPr>
            <w:tcW w:w="401" w:type="pct"/>
            <w:noWrap/>
          </w:tcPr>
          <w:p w14:paraId="010ACB6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0.1386</w:t>
            </w:r>
          </w:p>
        </w:tc>
        <w:tc>
          <w:tcPr>
            <w:tcW w:w="401" w:type="pct"/>
            <w:noWrap/>
          </w:tcPr>
          <w:p w14:paraId="162A8C6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noWrap/>
          </w:tcPr>
          <w:p w14:paraId="795A398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0.1373</w:t>
            </w:r>
          </w:p>
        </w:tc>
        <w:tc>
          <w:tcPr>
            <w:tcW w:w="401" w:type="pct"/>
            <w:noWrap/>
          </w:tcPr>
          <w:p w14:paraId="155D755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noWrap/>
          </w:tcPr>
          <w:p w14:paraId="3D6AD6D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C$2332</w:t>
            </w:r>
          </w:p>
        </w:tc>
        <w:tc>
          <w:tcPr>
            <w:tcW w:w="401" w:type="pct"/>
            <w:noWrap/>
          </w:tcPr>
          <w:p w14:paraId="46C06F8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(C$1723, C$3019)</w:t>
            </w:r>
          </w:p>
        </w:tc>
        <w:tc>
          <w:tcPr>
            <w:tcW w:w="401" w:type="pct"/>
            <w:noWrap/>
          </w:tcPr>
          <w:p w14:paraId="5F82CF0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C$16,988</w:t>
            </w:r>
          </w:p>
        </w:tc>
        <w:tc>
          <w:tcPr>
            <w:tcW w:w="401" w:type="pct"/>
            <w:noWrap/>
          </w:tcPr>
          <w:p w14:paraId="384D229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(C$12,867, C$23,201)</w:t>
            </w:r>
          </w:p>
        </w:tc>
        <w:tc>
          <w:tcPr>
            <w:tcW w:w="428" w:type="pct"/>
            <w:noWrap/>
          </w:tcPr>
          <w:p w14:paraId="0235265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−11</w:t>
            </w:r>
          </w:p>
        </w:tc>
      </w:tr>
      <w:tr w:rsidR="009F3E29" w:rsidRPr="00966864" w14:paraId="09DB0A56" w14:textId="77777777" w:rsidTr="00F211A9">
        <w:tc>
          <w:tcPr>
            <w:tcW w:w="1016" w:type="pct"/>
            <w:noWrap/>
          </w:tcPr>
          <w:p w14:paraId="44F3D375"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For subsequent therapies – assume </w:t>
            </w:r>
            <w:r w:rsidRPr="00966864">
              <w:rPr>
                <w:rFonts w:ascii="Arial" w:eastAsia="Calibri" w:hAnsi="Arial" w:cs="Arial"/>
                <w:bCs/>
                <w:sz w:val="16"/>
                <w:szCs w:val="16"/>
                <w:lang w:eastAsia="en-GB"/>
              </w:rPr>
              <w:br/>
              <w:t xml:space="preserve">100% market share of product with </w:t>
            </w:r>
            <w:r w:rsidRPr="00966864">
              <w:rPr>
                <w:rFonts w:ascii="Arial" w:eastAsia="Calibri" w:hAnsi="Arial" w:cs="Arial"/>
                <w:bCs/>
                <w:sz w:val="16"/>
                <w:szCs w:val="16"/>
                <w:lang w:eastAsia="en-GB"/>
              </w:rPr>
              <w:br/>
              <w:t>lowest cost in each treatment class</w:t>
            </w:r>
          </w:p>
        </w:tc>
        <w:tc>
          <w:tcPr>
            <w:tcW w:w="347" w:type="pct"/>
            <w:noWrap/>
          </w:tcPr>
          <w:p w14:paraId="59040718"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3.13</w:t>
            </w:r>
          </w:p>
        </w:tc>
        <w:tc>
          <w:tcPr>
            <w:tcW w:w="401" w:type="pct"/>
            <w:noWrap/>
          </w:tcPr>
          <w:p w14:paraId="0A910A8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0.1389</w:t>
            </w:r>
          </w:p>
        </w:tc>
        <w:tc>
          <w:tcPr>
            <w:tcW w:w="401" w:type="pct"/>
            <w:noWrap/>
          </w:tcPr>
          <w:p w14:paraId="794D723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noWrap/>
          </w:tcPr>
          <w:p w14:paraId="2B24C43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0.1373</w:t>
            </w:r>
          </w:p>
        </w:tc>
        <w:tc>
          <w:tcPr>
            <w:tcW w:w="401" w:type="pct"/>
            <w:noWrap/>
          </w:tcPr>
          <w:p w14:paraId="3C891A9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noWrap/>
          </w:tcPr>
          <w:p w14:paraId="72CF240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C$2899</w:t>
            </w:r>
          </w:p>
        </w:tc>
        <w:tc>
          <w:tcPr>
            <w:tcW w:w="401" w:type="pct"/>
            <w:noWrap/>
          </w:tcPr>
          <w:p w14:paraId="0FA5C0F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(C$2298, C$3577)</w:t>
            </w:r>
          </w:p>
        </w:tc>
        <w:tc>
          <w:tcPr>
            <w:tcW w:w="401" w:type="pct"/>
            <w:noWrap/>
          </w:tcPr>
          <w:p w14:paraId="64E9766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C$21,123</w:t>
            </w:r>
          </w:p>
        </w:tc>
        <w:tc>
          <w:tcPr>
            <w:tcW w:w="401" w:type="pct"/>
            <w:noWrap/>
          </w:tcPr>
          <w:p w14:paraId="6B70857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(C$16,541, C$29,069)</w:t>
            </w:r>
          </w:p>
        </w:tc>
        <w:tc>
          <w:tcPr>
            <w:tcW w:w="428" w:type="pct"/>
            <w:noWrap/>
          </w:tcPr>
          <w:p w14:paraId="56BC1E16"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11</w:t>
            </w:r>
          </w:p>
        </w:tc>
      </w:tr>
      <w:tr w:rsidR="009F3E29" w:rsidRPr="00966864" w14:paraId="36D7C01A" w14:textId="77777777" w:rsidTr="00F211A9">
        <w:tc>
          <w:tcPr>
            <w:tcW w:w="1016" w:type="pct"/>
            <w:noWrap/>
          </w:tcPr>
          <w:p w14:paraId="33283EA3"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For subsequent therapies – generic </w:t>
            </w:r>
            <w:r w:rsidRPr="00966864">
              <w:rPr>
                <w:rFonts w:ascii="Arial" w:eastAsia="Calibri" w:hAnsi="Arial" w:cs="Arial"/>
                <w:bCs/>
                <w:sz w:val="16"/>
                <w:szCs w:val="16"/>
                <w:lang w:eastAsia="en-GB"/>
              </w:rPr>
              <w:br/>
              <w:t xml:space="preserve">pricing for FP/SAL DPI (75% of current </w:t>
            </w:r>
            <w:r w:rsidRPr="00966864">
              <w:rPr>
                <w:rFonts w:ascii="Arial" w:eastAsia="Calibri" w:hAnsi="Arial" w:cs="Arial"/>
                <w:bCs/>
                <w:sz w:val="16"/>
                <w:szCs w:val="16"/>
                <w:lang w:eastAsia="en-GB"/>
              </w:rPr>
              <w:br/>
              <w:t>cost in weight calculation)</w:t>
            </w:r>
          </w:p>
        </w:tc>
        <w:tc>
          <w:tcPr>
            <w:tcW w:w="347" w:type="pct"/>
            <w:noWrap/>
          </w:tcPr>
          <w:p w14:paraId="29F7D24D"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4.22</w:t>
            </w:r>
          </w:p>
        </w:tc>
        <w:tc>
          <w:tcPr>
            <w:tcW w:w="401" w:type="pct"/>
            <w:noWrap/>
          </w:tcPr>
          <w:p w14:paraId="234B9AB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0.1396</w:t>
            </w:r>
          </w:p>
        </w:tc>
        <w:tc>
          <w:tcPr>
            <w:tcW w:w="401" w:type="pct"/>
            <w:noWrap/>
          </w:tcPr>
          <w:p w14:paraId="267AD73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noWrap/>
          </w:tcPr>
          <w:p w14:paraId="519F1B11"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0.1381</w:t>
            </w:r>
          </w:p>
        </w:tc>
        <w:tc>
          <w:tcPr>
            <w:tcW w:w="401" w:type="pct"/>
            <w:noWrap/>
          </w:tcPr>
          <w:p w14:paraId="5FDE3CF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noWrap/>
          </w:tcPr>
          <w:p w14:paraId="6BD55E6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C$2624</w:t>
            </w:r>
          </w:p>
        </w:tc>
        <w:tc>
          <w:tcPr>
            <w:tcW w:w="401" w:type="pct"/>
            <w:noWrap/>
          </w:tcPr>
          <w:p w14:paraId="7393F96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(C$2019, C$3284)</w:t>
            </w:r>
          </w:p>
        </w:tc>
        <w:tc>
          <w:tcPr>
            <w:tcW w:w="401" w:type="pct"/>
            <w:noWrap/>
          </w:tcPr>
          <w:p w14:paraId="0ED49A40"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C$18,998</w:t>
            </w:r>
          </w:p>
        </w:tc>
        <w:tc>
          <w:tcPr>
            <w:tcW w:w="401" w:type="pct"/>
            <w:noWrap/>
          </w:tcPr>
          <w:p w14:paraId="0D2E400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(C$14,822, C$26,058)</w:t>
            </w:r>
          </w:p>
        </w:tc>
        <w:tc>
          <w:tcPr>
            <w:tcW w:w="428" w:type="pct"/>
            <w:noWrap/>
          </w:tcPr>
          <w:p w14:paraId="425AF78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w:t>
            </w:r>
          </w:p>
        </w:tc>
      </w:tr>
      <w:tr w:rsidR="009F3E29" w:rsidRPr="00966864" w14:paraId="4908669A" w14:textId="77777777" w:rsidTr="00F211A9">
        <w:tc>
          <w:tcPr>
            <w:tcW w:w="1016" w:type="pct"/>
            <w:noWrap/>
          </w:tcPr>
          <w:p w14:paraId="0DF18428"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 xml:space="preserve">For subsequent therapies – generic </w:t>
            </w:r>
            <w:r w:rsidRPr="00966864">
              <w:rPr>
                <w:rFonts w:ascii="Arial" w:eastAsia="Calibri" w:hAnsi="Arial" w:cs="Arial"/>
                <w:bCs/>
                <w:sz w:val="16"/>
                <w:szCs w:val="16"/>
                <w:lang w:eastAsia="en-GB"/>
              </w:rPr>
              <w:br/>
              <w:t xml:space="preserve">pricing for FP/SAL DPI (35% of current </w:t>
            </w:r>
            <w:r w:rsidRPr="00966864">
              <w:rPr>
                <w:rFonts w:ascii="Arial" w:eastAsia="Calibri" w:hAnsi="Arial" w:cs="Arial"/>
                <w:bCs/>
                <w:sz w:val="16"/>
                <w:szCs w:val="16"/>
                <w:lang w:eastAsia="en-GB"/>
              </w:rPr>
              <w:br/>
              <w:t>cost in weighted calculation)</w:t>
            </w:r>
          </w:p>
        </w:tc>
        <w:tc>
          <w:tcPr>
            <w:tcW w:w="347" w:type="pct"/>
            <w:noWrap/>
          </w:tcPr>
          <w:p w14:paraId="0567BCCA"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4.10</w:t>
            </w:r>
          </w:p>
        </w:tc>
        <w:tc>
          <w:tcPr>
            <w:tcW w:w="401" w:type="pct"/>
            <w:noWrap/>
          </w:tcPr>
          <w:p w14:paraId="77C2451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0.1393</w:t>
            </w:r>
          </w:p>
        </w:tc>
        <w:tc>
          <w:tcPr>
            <w:tcW w:w="401" w:type="pct"/>
            <w:noWrap/>
          </w:tcPr>
          <w:p w14:paraId="72E11D3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noWrap/>
          </w:tcPr>
          <w:p w14:paraId="412A475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0.1375</w:t>
            </w:r>
          </w:p>
        </w:tc>
        <w:tc>
          <w:tcPr>
            <w:tcW w:w="401" w:type="pct"/>
            <w:noWrap/>
          </w:tcPr>
          <w:p w14:paraId="0E00447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noWrap/>
          </w:tcPr>
          <w:p w14:paraId="3B4EDA2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C$2654</w:t>
            </w:r>
          </w:p>
        </w:tc>
        <w:tc>
          <w:tcPr>
            <w:tcW w:w="401" w:type="pct"/>
            <w:noWrap/>
          </w:tcPr>
          <w:p w14:paraId="5B14C77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(C$2058, C$3357)</w:t>
            </w:r>
          </w:p>
        </w:tc>
        <w:tc>
          <w:tcPr>
            <w:tcW w:w="401" w:type="pct"/>
            <w:noWrap/>
          </w:tcPr>
          <w:p w14:paraId="4735E9C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C$19,308</w:t>
            </w:r>
          </w:p>
        </w:tc>
        <w:tc>
          <w:tcPr>
            <w:tcW w:w="401" w:type="pct"/>
            <w:noWrap/>
          </w:tcPr>
          <w:p w14:paraId="7A55D87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(C$15,087, C$26,407)</w:t>
            </w:r>
          </w:p>
        </w:tc>
        <w:tc>
          <w:tcPr>
            <w:tcW w:w="428" w:type="pct"/>
            <w:noWrap/>
          </w:tcPr>
          <w:p w14:paraId="4A5F673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2</w:t>
            </w:r>
          </w:p>
        </w:tc>
      </w:tr>
      <w:tr w:rsidR="009F3E29" w:rsidRPr="00966864" w14:paraId="3A5B81AB" w14:textId="77777777" w:rsidTr="00F211A9">
        <w:tc>
          <w:tcPr>
            <w:tcW w:w="1016" w:type="pct"/>
            <w:noWrap/>
          </w:tcPr>
          <w:p w14:paraId="6254FACF" w14:textId="00C23244" w:rsidR="009F3E29" w:rsidRPr="00966864" w:rsidRDefault="00CC3543" w:rsidP="009F3E29">
            <w:pPr>
              <w:spacing w:before="30" w:after="30" w:line="240" w:lineRule="auto"/>
              <w:rPr>
                <w:rFonts w:ascii="Arial" w:eastAsia="Calibri" w:hAnsi="Arial" w:cs="Arial"/>
                <w:bCs/>
                <w:sz w:val="16"/>
                <w:szCs w:val="16"/>
                <w:lang w:eastAsia="en-GB"/>
              </w:rPr>
            </w:pPr>
            <w:r>
              <w:rPr>
                <w:rFonts w:ascii="Arial" w:eastAsia="Calibri" w:hAnsi="Arial" w:cs="Arial"/>
                <w:bCs/>
                <w:sz w:val="16"/>
                <w:szCs w:val="16"/>
                <w:lang w:eastAsia="en-GB"/>
              </w:rPr>
              <w:t>Use utiliz</w:t>
            </w:r>
            <w:r w:rsidR="009F3E29" w:rsidRPr="00966864">
              <w:rPr>
                <w:rFonts w:ascii="Arial" w:eastAsia="Calibri" w:hAnsi="Arial" w:cs="Arial"/>
                <w:bCs/>
                <w:sz w:val="16"/>
                <w:szCs w:val="16"/>
                <w:lang w:eastAsia="en-GB"/>
              </w:rPr>
              <w:t>ation-weighted cost of all ICS/LABAs replaced for cost of FF/VI</w:t>
            </w:r>
          </w:p>
        </w:tc>
        <w:tc>
          <w:tcPr>
            <w:tcW w:w="347" w:type="pct"/>
            <w:noWrap/>
          </w:tcPr>
          <w:p w14:paraId="7126C15F"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3.5116</w:t>
            </w:r>
          </w:p>
        </w:tc>
        <w:tc>
          <w:tcPr>
            <w:tcW w:w="401" w:type="pct"/>
            <w:noWrap/>
          </w:tcPr>
          <w:p w14:paraId="76D5421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0.1392</w:t>
            </w:r>
          </w:p>
        </w:tc>
        <w:tc>
          <w:tcPr>
            <w:tcW w:w="401" w:type="pct"/>
            <w:noWrap/>
          </w:tcPr>
          <w:p w14:paraId="6E561BE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noWrap/>
          </w:tcPr>
          <w:p w14:paraId="7878CD12"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0.1374</w:t>
            </w:r>
          </w:p>
        </w:tc>
        <w:tc>
          <w:tcPr>
            <w:tcW w:w="401" w:type="pct"/>
            <w:noWrap/>
          </w:tcPr>
          <w:p w14:paraId="4D602440"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noWrap/>
          </w:tcPr>
          <w:p w14:paraId="7C5B76B3"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C$1820</w:t>
            </w:r>
          </w:p>
        </w:tc>
        <w:tc>
          <w:tcPr>
            <w:tcW w:w="401" w:type="pct"/>
            <w:noWrap/>
          </w:tcPr>
          <w:p w14:paraId="5BE5ADD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(C$1223, C$2509)</w:t>
            </w:r>
          </w:p>
        </w:tc>
        <w:tc>
          <w:tcPr>
            <w:tcW w:w="401" w:type="pct"/>
            <w:noWrap/>
          </w:tcPr>
          <w:p w14:paraId="154B9C1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C$13,243</w:t>
            </w:r>
          </w:p>
        </w:tc>
        <w:tc>
          <w:tcPr>
            <w:tcW w:w="401" w:type="pct"/>
            <w:noWrap/>
          </w:tcPr>
          <w:p w14:paraId="10AF65DD"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(C$9690, C$18,336)</w:t>
            </w:r>
          </w:p>
        </w:tc>
        <w:tc>
          <w:tcPr>
            <w:tcW w:w="428" w:type="pct"/>
            <w:noWrap/>
          </w:tcPr>
          <w:p w14:paraId="33E38469"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−30</w:t>
            </w:r>
          </w:p>
        </w:tc>
      </w:tr>
      <w:tr w:rsidR="009F3E29" w:rsidRPr="00966864" w14:paraId="6729CFCD" w14:textId="77777777" w:rsidTr="00F211A9">
        <w:tc>
          <w:tcPr>
            <w:tcW w:w="1016" w:type="pct"/>
            <w:noWrap/>
          </w:tcPr>
          <w:p w14:paraId="638A4892" w14:textId="6B61F404" w:rsidR="009F3E29" w:rsidRPr="00966864" w:rsidRDefault="00CC3543" w:rsidP="009F3E29">
            <w:pPr>
              <w:spacing w:before="30" w:after="30" w:line="240" w:lineRule="auto"/>
              <w:rPr>
                <w:rFonts w:ascii="Arial" w:eastAsia="Calibri" w:hAnsi="Arial" w:cs="Arial"/>
                <w:bCs/>
                <w:sz w:val="16"/>
                <w:szCs w:val="16"/>
                <w:lang w:eastAsia="en-GB"/>
              </w:rPr>
            </w:pPr>
            <w:r>
              <w:rPr>
                <w:rFonts w:ascii="Arial" w:eastAsia="Calibri" w:hAnsi="Arial" w:cs="Arial"/>
                <w:bCs/>
                <w:sz w:val="16"/>
                <w:szCs w:val="16"/>
                <w:lang w:eastAsia="en-GB"/>
              </w:rPr>
              <w:t>Use utiliz</w:t>
            </w:r>
            <w:r w:rsidR="009F3E29" w:rsidRPr="00966864">
              <w:rPr>
                <w:rFonts w:ascii="Arial" w:eastAsia="Calibri" w:hAnsi="Arial" w:cs="Arial"/>
                <w:bCs/>
                <w:sz w:val="16"/>
                <w:szCs w:val="16"/>
                <w:lang w:eastAsia="en-GB"/>
              </w:rPr>
              <w:t xml:space="preserve">ation-weighted cost of </w:t>
            </w:r>
            <w:r w:rsidR="009F3E29" w:rsidRPr="00966864">
              <w:rPr>
                <w:rFonts w:ascii="Arial" w:eastAsia="Calibri" w:hAnsi="Arial" w:cs="Arial"/>
                <w:bCs/>
                <w:sz w:val="16"/>
                <w:szCs w:val="16"/>
                <w:lang w:eastAsia="en-GB"/>
              </w:rPr>
              <w:br/>
              <w:t xml:space="preserve">ICS/LABAs indicated for COPD replaced </w:t>
            </w:r>
            <w:r w:rsidR="009F3E29" w:rsidRPr="00966864">
              <w:rPr>
                <w:rFonts w:ascii="Arial" w:eastAsia="Calibri" w:hAnsi="Arial" w:cs="Arial"/>
                <w:bCs/>
                <w:sz w:val="16"/>
                <w:szCs w:val="16"/>
                <w:lang w:eastAsia="en-GB"/>
              </w:rPr>
              <w:br/>
              <w:t>for cost of FF/VI</w:t>
            </w:r>
          </w:p>
        </w:tc>
        <w:tc>
          <w:tcPr>
            <w:tcW w:w="347" w:type="pct"/>
            <w:noWrap/>
          </w:tcPr>
          <w:p w14:paraId="4B0F05DF" w14:textId="77777777" w:rsidR="009F3E29" w:rsidRPr="00966864" w:rsidRDefault="009F3E29" w:rsidP="009F3E29">
            <w:pPr>
              <w:spacing w:before="30" w:after="30" w:line="240" w:lineRule="auto"/>
              <w:rPr>
                <w:rFonts w:ascii="Arial" w:eastAsia="Calibri" w:hAnsi="Arial" w:cs="Arial"/>
                <w:bCs/>
                <w:sz w:val="16"/>
                <w:szCs w:val="16"/>
                <w:lang w:eastAsia="en-GB"/>
              </w:rPr>
            </w:pPr>
            <w:r w:rsidRPr="00966864">
              <w:rPr>
                <w:rFonts w:ascii="Arial" w:eastAsia="Calibri" w:hAnsi="Arial" w:cs="Arial"/>
                <w:bCs/>
                <w:sz w:val="16"/>
                <w:szCs w:val="16"/>
                <w:lang w:eastAsia="en-GB"/>
              </w:rPr>
              <w:t>3.2760</w:t>
            </w:r>
          </w:p>
        </w:tc>
        <w:tc>
          <w:tcPr>
            <w:tcW w:w="401" w:type="pct"/>
            <w:noWrap/>
          </w:tcPr>
          <w:p w14:paraId="1A61070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0.1391</w:t>
            </w:r>
          </w:p>
        </w:tc>
        <w:tc>
          <w:tcPr>
            <w:tcW w:w="401" w:type="pct"/>
            <w:noWrap/>
          </w:tcPr>
          <w:p w14:paraId="1756F77A"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(0.07, 0.21)</w:t>
            </w:r>
          </w:p>
        </w:tc>
        <w:tc>
          <w:tcPr>
            <w:tcW w:w="401" w:type="pct"/>
            <w:noWrap/>
          </w:tcPr>
          <w:p w14:paraId="7E60C0AF"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0.1376</w:t>
            </w:r>
          </w:p>
        </w:tc>
        <w:tc>
          <w:tcPr>
            <w:tcW w:w="401" w:type="pct"/>
            <w:noWrap/>
          </w:tcPr>
          <w:p w14:paraId="60CCF0B5"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(0.09, 0.18)</w:t>
            </w:r>
          </w:p>
        </w:tc>
        <w:tc>
          <w:tcPr>
            <w:tcW w:w="401" w:type="pct"/>
            <w:noWrap/>
          </w:tcPr>
          <w:p w14:paraId="313B48C4"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C$2059</w:t>
            </w:r>
          </w:p>
        </w:tc>
        <w:tc>
          <w:tcPr>
            <w:tcW w:w="401" w:type="pct"/>
            <w:noWrap/>
          </w:tcPr>
          <w:p w14:paraId="4A634817"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(C$1451, C$2715)</w:t>
            </w:r>
          </w:p>
        </w:tc>
        <w:tc>
          <w:tcPr>
            <w:tcW w:w="401" w:type="pct"/>
            <w:noWrap/>
          </w:tcPr>
          <w:p w14:paraId="5DD17FB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C$14,969</w:t>
            </w:r>
          </w:p>
        </w:tc>
        <w:tc>
          <w:tcPr>
            <w:tcW w:w="401" w:type="pct"/>
            <w:noWrap/>
          </w:tcPr>
          <w:p w14:paraId="491E1FEB"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(C$11,324, C$20,589)</w:t>
            </w:r>
          </w:p>
        </w:tc>
        <w:tc>
          <w:tcPr>
            <w:tcW w:w="428" w:type="pct"/>
            <w:noWrap/>
          </w:tcPr>
          <w:p w14:paraId="23BB654C" w14:textId="77777777" w:rsidR="009F3E29" w:rsidRPr="00966864" w:rsidRDefault="009F3E29" w:rsidP="009F3E29">
            <w:pPr>
              <w:spacing w:before="30" w:after="30" w:line="240" w:lineRule="auto"/>
              <w:jc w:val="center"/>
              <w:rPr>
                <w:rFonts w:ascii="Arial" w:eastAsia="Calibri" w:hAnsi="Arial" w:cs="Arial"/>
                <w:bCs/>
                <w:sz w:val="16"/>
                <w:szCs w:val="16"/>
                <w:lang w:eastAsia="en-GB"/>
              </w:rPr>
            </w:pPr>
            <w:r w:rsidRPr="00966864">
              <w:rPr>
                <w:rFonts w:ascii="Arial" w:eastAsia="Calibri" w:hAnsi="Arial" w:cs="Arial"/>
                <w:bCs/>
                <w:sz w:val="16"/>
                <w:szCs w:val="16"/>
                <w:lang w:eastAsia="en-GB"/>
              </w:rPr>
              <w:t>−21</w:t>
            </w:r>
          </w:p>
        </w:tc>
      </w:tr>
    </w:tbl>
    <w:p w14:paraId="4A15D858" w14:textId="61619482" w:rsidR="009F3E29" w:rsidRPr="00966864" w:rsidRDefault="00F211A9" w:rsidP="009F3E29">
      <w:pPr>
        <w:autoSpaceDE w:val="0"/>
        <w:autoSpaceDN w:val="0"/>
        <w:adjustRightInd w:val="0"/>
        <w:spacing w:before="120" w:after="0" w:line="276" w:lineRule="auto"/>
        <w:rPr>
          <w:rFonts w:ascii="Arial" w:eastAsia="Batang" w:hAnsi="Arial" w:cs="Arial"/>
          <w:b/>
          <w:bCs/>
          <w:color w:val="808080"/>
          <w:sz w:val="24"/>
          <w:szCs w:val="24"/>
        </w:rPr>
      </w:pPr>
      <w:r>
        <w:rPr>
          <w:rFonts w:cs="Arial"/>
          <w:b/>
          <w:szCs w:val="20"/>
        </w:rPr>
        <w:t>Abbreviations:</w:t>
      </w:r>
      <w:r>
        <w:rPr>
          <w:rFonts w:cs="Arial"/>
          <w:szCs w:val="20"/>
        </w:rPr>
        <w:t xml:space="preserve"> </w:t>
      </w:r>
      <w:r w:rsidR="00B87CB1">
        <w:rPr>
          <w:rFonts w:ascii="Arial" w:eastAsia="Batang" w:hAnsi="Arial" w:cs="Arial"/>
          <w:bCs/>
          <w:sz w:val="20"/>
          <w:szCs w:val="24"/>
        </w:rPr>
        <w:t xml:space="preserve">6MWT, 6-min walk test; CI, confidence interval; COPD, </w:t>
      </w:r>
      <w:r w:rsidR="009F3E29" w:rsidRPr="00966864">
        <w:rPr>
          <w:rFonts w:ascii="Arial" w:eastAsia="Batang" w:hAnsi="Arial" w:cs="Arial"/>
          <w:bCs/>
          <w:sz w:val="20"/>
          <w:szCs w:val="24"/>
        </w:rPr>
        <w:t>chronic obs</w:t>
      </w:r>
      <w:r w:rsidR="00B87CB1">
        <w:rPr>
          <w:rFonts w:ascii="Arial" w:eastAsia="Batang" w:hAnsi="Arial" w:cs="Arial"/>
          <w:bCs/>
          <w:sz w:val="20"/>
          <w:szCs w:val="24"/>
        </w:rPr>
        <w:t>tructive pulmonary disease; C$, Canadian dollars; DPI, dry-powder inhaler; FF, fluticasone furoate; FP,</w:t>
      </w:r>
      <w:r w:rsidR="009F3E29" w:rsidRPr="00966864">
        <w:rPr>
          <w:rFonts w:ascii="Arial" w:eastAsia="Batang" w:hAnsi="Arial" w:cs="Arial"/>
          <w:bCs/>
          <w:sz w:val="20"/>
          <w:szCs w:val="24"/>
        </w:rPr>
        <w:t xml:space="preserve"> fluticasone pro</w:t>
      </w:r>
      <w:r w:rsidR="00B87CB1">
        <w:rPr>
          <w:rFonts w:ascii="Arial" w:eastAsia="Batang" w:hAnsi="Arial" w:cs="Arial"/>
          <w:bCs/>
          <w:sz w:val="20"/>
          <w:szCs w:val="24"/>
        </w:rPr>
        <w:t xml:space="preserve">pionate; ICER, </w:t>
      </w:r>
      <w:r w:rsidR="009F3E29" w:rsidRPr="00966864">
        <w:rPr>
          <w:rFonts w:ascii="Arial" w:eastAsia="Batang" w:hAnsi="Arial" w:cs="Arial"/>
          <w:bCs/>
          <w:sz w:val="20"/>
          <w:szCs w:val="24"/>
        </w:rPr>
        <w:t>increm</w:t>
      </w:r>
      <w:r w:rsidR="00B87CB1">
        <w:rPr>
          <w:rFonts w:ascii="Arial" w:eastAsia="Batang" w:hAnsi="Arial" w:cs="Arial"/>
          <w:bCs/>
          <w:sz w:val="20"/>
          <w:szCs w:val="24"/>
        </w:rPr>
        <w:t xml:space="preserve">ental cost-effective ratio; ICS, inhaled corticosteroid; LABA, </w:t>
      </w:r>
      <w:r w:rsidR="009F3E29" w:rsidRPr="00966864">
        <w:rPr>
          <w:rFonts w:ascii="Arial" w:eastAsia="Batang" w:hAnsi="Arial" w:cs="Arial"/>
          <w:bCs/>
          <w:sz w:val="20"/>
          <w:szCs w:val="24"/>
        </w:rPr>
        <w:t>long-acting β</w:t>
      </w:r>
      <w:r w:rsidR="009F3E29" w:rsidRPr="00966864">
        <w:rPr>
          <w:rFonts w:ascii="Arial" w:eastAsia="Batang" w:hAnsi="Arial" w:cs="Arial"/>
          <w:bCs/>
          <w:sz w:val="20"/>
          <w:szCs w:val="24"/>
          <w:vertAlign w:val="subscript"/>
        </w:rPr>
        <w:t>2</w:t>
      </w:r>
      <w:r w:rsidR="00B87CB1">
        <w:rPr>
          <w:rFonts w:ascii="Arial" w:eastAsia="Batang" w:hAnsi="Arial" w:cs="Arial"/>
          <w:bCs/>
          <w:sz w:val="20"/>
          <w:szCs w:val="24"/>
        </w:rPr>
        <w:t xml:space="preserve">-agonist; LY, life year; </w:t>
      </w:r>
      <w:proofErr w:type="spellStart"/>
      <w:r w:rsidR="00B87CB1">
        <w:rPr>
          <w:rFonts w:ascii="Arial" w:eastAsia="Batang" w:hAnsi="Arial" w:cs="Arial"/>
          <w:bCs/>
          <w:sz w:val="20"/>
          <w:szCs w:val="24"/>
        </w:rPr>
        <w:t>MExac</w:t>
      </w:r>
      <w:proofErr w:type="spellEnd"/>
      <w:r w:rsidR="00B87CB1">
        <w:rPr>
          <w:rFonts w:ascii="Arial" w:eastAsia="Batang" w:hAnsi="Arial" w:cs="Arial"/>
          <w:bCs/>
          <w:sz w:val="20"/>
          <w:szCs w:val="24"/>
        </w:rPr>
        <w:t xml:space="preserve">, moderate exacerbation; </w:t>
      </w:r>
      <w:proofErr w:type="spellStart"/>
      <w:r w:rsidR="00B87CB1">
        <w:rPr>
          <w:rFonts w:ascii="Arial" w:eastAsia="Batang" w:hAnsi="Arial" w:cs="Arial"/>
          <w:bCs/>
          <w:sz w:val="20"/>
          <w:szCs w:val="24"/>
        </w:rPr>
        <w:t>mMRC</w:t>
      </w:r>
      <w:proofErr w:type="spellEnd"/>
      <w:r w:rsidR="00B87CB1">
        <w:rPr>
          <w:rFonts w:ascii="Arial" w:eastAsia="Batang" w:hAnsi="Arial" w:cs="Arial"/>
          <w:bCs/>
          <w:sz w:val="20"/>
          <w:szCs w:val="24"/>
        </w:rPr>
        <w:t xml:space="preserve">, </w:t>
      </w:r>
      <w:r w:rsidR="009F3E29" w:rsidRPr="00966864">
        <w:rPr>
          <w:rFonts w:ascii="Arial" w:eastAsia="Batang" w:hAnsi="Arial" w:cs="Arial"/>
          <w:bCs/>
          <w:sz w:val="20"/>
          <w:szCs w:val="24"/>
        </w:rPr>
        <w:t>modifie</w:t>
      </w:r>
      <w:r w:rsidR="00B87CB1">
        <w:rPr>
          <w:rFonts w:ascii="Arial" w:eastAsia="Batang" w:hAnsi="Arial" w:cs="Arial"/>
          <w:bCs/>
          <w:sz w:val="20"/>
          <w:szCs w:val="24"/>
        </w:rPr>
        <w:t>d Medical Research Council; PA, probability analyses; QALY,</w:t>
      </w:r>
      <w:r w:rsidR="009F3E29" w:rsidRPr="00966864">
        <w:rPr>
          <w:rFonts w:ascii="Arial" w:eastAsia="Batang" w:hAnsi="Arial" w:cs="Arial"/>
          <w:bCs/>
          <w:sz w:val="20"/>
          <w:szCs w:val="24"/>
        </w:rPr>
        <w:t xml:space="preserve"> quality-adjusted life year; SA</w:t>
      </w:r>
      <w:r w:rsidR="00B87CB1">
        <w:rPr>
          <w:rFonts w:ascii="Arial" w:eastAsia="Batang" w:hAnsi="Arial" w:cs="Arial"/>
          <w:bCs/>
          <w:sz w:val="20"/>
          <w:szCs w:val="24"/>
        </w:rPr>
        <w:t>, sensitivity analysis; SAL,</w:t>
      </w:r>
      <w:r w:rsidR="009F3E29" w:rsidRPr="00966864">
        <w:rPr>
          <w:rFonts w:ascii="Arial" w:eastAsia="Batang" w:hAnsi="Arial" w:cs="Arial"/>
          <w:bCs/>
          <w:sz w:val="20"/>
          <w:szCs w:val="24"/>
        </w:rPr>
        <w:t xml:space="preserve"> salmeterol; </w:t>
      </w:r>
      <w:proofErr w:type="spellStart"/>
      <w:r w:rsidR="009F3E29" w:rsidRPr="00966864">
        <w:rPr>
          <w:rFonts w:ascii="Arial" w:eastAsia="Batang" w:hAnsi="Arial" w:cs="Arial"/>
          <w:bCs/>
          <w:sz w:val="20"/>
          <w:szCs w:val="24"/>
        </w:rPr>
        <w:t>S</w:t>
      </w:r>
      <w:r w:rsidR="00B87CB1">
        <w:rPr>
          <w:rFonts w:ascii="Arial" w:eastAsia="Batang" w:hAnsi="Arial" w:cs="Arial"/>
          <w:bCs/>
          <w:sz w:val="20"/>
          <w:szCs w:val="24"/>
        </w:rPr>
        <w:t>Exac</w:t>
      </w:r>
      <w:proofErr w:type="spellEnd"/>
      <w:r w:rsidR="00B87CB1">
        <w:rPr>
          <w:rFonts w:ascii="Arial" w:eastAsia="Batang" w:hAnsi="Arial" w:cs="Arial"/>
          <w:bCs/>
          <w:sz w:val="20"/>
          <w:szCs w:val="24"/>
        </w:rPr>
        <w:t>, severe exacerbation; SITT,</w:t>
      </w:r>
      <w:r w:rsidR="009F3E29" w:rsidRPr="00966864">
        <w:rPr>
          <w:rFonts w:ascii="Arial" w:eastAsia="Batang" w:hAnsi="Arial" w:cs="Arial"/>
          <w:bCs/>
          <w:sz w:val="20"/>
          <w:szCs w:val="24"/>
        </w:rPr>
        <w:t xml:space="preserve"> sing</w:t>
      </w:r>
      <w:r w:rsidR="00B87CB1">
        <w:rPr>
          <w:rFonts w:ascii="Arial" w:eastAsia="Batang" w:hAnsi="Arial" w:cs="Arial"/>
          <w:bCs/>
          <w:sz w:val="20"/>
          <w:szCs w:val="24"/>
        </w:rPr>
        <w:t>le-inhaler triple therapy; UMEC,</w:t>
      </w:r>
      <w:r w:rsidR="009F3E29" w:rsidRPr="00966864">
        <w:rPr>
          <w:rFonts w:ascii="Arial" w:eastAsia="Batang" w:hAnsi="Arial" w:cs="Arial"/>
          <w:bCs/>
          <w:sz w:val="20"/>
          <w:szCs w:val="24"/>
        </w:rPr>
        <w:t xml:space="preserve"> umeclidinium; VI: vilanterol.</w:t>
      </w:r>
      <w:r w:rsidR="009F3E29" w:rsidRPr="00966864">
        <w:rPr>
          <w:rFonts w:ascii="Arial" w:eastAsia="Batang" w:hAnsi="Arial" w:cs="Arial"/>
          <w:bCs/>
          <w:sz w:val="20"/>
          <w:szCs w:val="24"/>
        </w:rPr>
        <w:br w:type="page"/>
      </w:r>
    </w:p>
    <w:p w14:paraId="43197EE3" w14:textId="77777777" w:rsidR="009F3E29" w:rsidRPr="00966864" w:rsidRDefault="009F3E29" w:rsidP="009F3E29">
      <w:pPr>
        <w:shd w:val="clear" w:color="auto" w:fill="E7E6E6"/>
        <w:autoSpaceDE w:val="0"/>
        <w:autoSpaceDN w:val="0"/>
        <w:adjustRightInd w:val="0"/>
        <w:spacing w:after="240" w:line="276" w:lineRule="auto"/>
        <w:contextualSpacing/>
        <w:outlineLvl w:val="1"/>
        <w:rPr>
          <w:rFonts w:ascii="Arial" w:eastAsia="Batang" w:hAnsi="Arial" w:cs="Arial"/>
          <w:b/>
          <w:bCs/>
          <w:color w:val="808080"/>
          <w:sz w:val="24"/>
          <w:szCs w:val="24"/>
        </w:rPr>
      </w:pPr>
      <w:r w:rsidRPr="00966864">
        <w:rPr>
          <w:rFonts w:ascii="Arial" w:eastAsia="Batang" w:hAnsi="Arial" w:cs="Arial"/>
          <w:b/>
          <w:bCs/>
          <w:color w:val="808080"/>
          <w:sz w:val="24"/>
          <w:szCs w:val="24"/>
        </w:rPr>
        <w:lastRenderedPageBreak/>
        <w:t>Table S5. Sensitivity and scenario analyses: incremental outcomes for FF/UMEC/VI versus UMEC/VI</w:t>
      </w:r>
    </w:p>
    <w:tbl>
      <w:tblPr>
        <w:tblStyle w:val="Icon"/>
        <w:tblW w:w="5000" w:type="pct"/>
        <w:tblLayout w:type="fixed"/>
        <w:tblLook w:val="0620" w:firstRow="1" w:lastRow="0" w:firstColumn="0" w:lastColumn="0" w:noHBand="1" w:noVBand="1"/>
      </w:tblPr>
      <w:tblGrid>
        <w:gridCol w:w="3114"/>
        <w:gridCol w:w="1657"/>
        <w:gridCol w:w="1067"/>
        <w:gridCol w:w="1069"/>
        <w:gridCol w:w="1066"/>
        <w:gridCol w:w="1066"/>
        <w:gridCol w:w="1066"/>
        <w:gridCol w:w="1066"/>
        <w:gridCol w:w="1066"/>
        <w:gridCol w:w="1066"/>
        <w:gridCol w:w="1300"/>
      </w:tblGrid>
      <w:tr w:rsidR="009F3E29" w:rsidRPr="00966864" w14:paraId="290FC4BC" w14:textId="77777777" w:rsidTr="00F211A9">
        <w:trPr>
          <w:cnfStyle w:val="100000000000" w:firstRow="1" w:lastRow="0" w:firstColumn="0" w:lastColumn="0" w:oddVBand="0" w:evenVBand="0" w:oddHBand="0" w:evenHBand="0" w:firstRowFirstColumn="0" w:firstRowLastColumn="0" w:lastRowFirstColumn="0" w:lastRowLastColumn="0"/>
        </w:trPr>
        <w:tc>
          <w:tcPr>
            <w:tcW w:w="1066" w:type="pct"/>
            <w:shd w:val="clear" w:color="auto" w:fill="FFFFFF"/>
            <w:noWrap/>
            <w:hideMark/>
          </w:tcPr>
          <w:p w14:paraId="442598EA"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567" w:type="pct"/>
            <w:shd w:val="clear" w:color="auto" w:fill="FFFFFF"/>
            <w:noWrap/>
            <w:hideMark/>
          </w:tcPr>
          <w:p w14:paraId="716829AA"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
                <w:bCs/>
                <w:sz w:val="16"/>
                <w:szCs w:val="16"/>
              </w:rPr>
              <w:t>Input value </w:t>
            </w:r>
          </w:p>
        </w:tc>
        <w:tc>
          <w:tcPr>
            <w:tcW w:w="731" w:type="pct"/>
            <w:gridSpan w:val="2"/>
            <w:shd w:val="clear" w:color="auto" w:fill="FFFFFF"/>
            <w:noWrap/>
            <w:hideMark/>
          </w:tcPr>
          <w:p w14:paraId="441344B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LYs</w:t>
            </w:r>
          </w:p>
        </w:tc>
        <w:tc>
          <w:tcPr>
            <w:tcW w:w="730" w:type="pct"/>
            <w:gridSpan w:val="2"/>
            <w:shd w:val="clear" w:color="auto" w:fill="FFFFFF"/>
            <w:noWrap/>
            <w:hideMark/>
          </w:tcPr>
          <w:p w14:paraId="3240C26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QALYs</w:t>
            </w:r>
          </w:p>
        </w:tc>
        <w:tc>
          <w:tcPr>
            <w:tcW w:w="730" w:type="pct"/>
            <w:gridSpan w:val="2"/>
            <w:shd w:val="clear" w:color="auto" w:fill="FFFFFF"/>
            <w:noWrap/>
            <w:hideMark/>
          </w:tcPr>
          <w:p w14:paraId="796DD42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Costs</w:t>
            </w:r>
          </w:p>
        </w:tc>
        <w:tc>
          <w:tcPr>
            <w:tcW w:w="730" w:type="pct"/>
            <w:gridSpan w:val="2"/>
            <w:shd w:val="clear" w:color="auto" w:fill="FFFFFF"/>
            <w:noWrap/>
            <w:hideMark/>
          </w:tcPr>
          <w:p w14:paraId="0571095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ICER/QALY gained</w:t>
            </w:r>
          </w:p>
        </w:tc>
        <w:tc>
          <w:tcPr>
            <w:tcW w:w="445" w:type="pct"/>
            <w:shd w:val="clear" w:color="auto" w:fill="FFFFFF"/>
            <w:noWrap/>
            <w:hideMark/>
          </w:tcPr>
          <w:p w14:paraId="5C7FACA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Change from base case, %</w:t>
            </w:r>
          </w:p>
        </w:tc>
      </w:tr>
      <w:tr w:rsidR="009F3E29" w:rsidRPr="00966864" w14:paraId="6205D9B3" w14:textId="77777777" w:rsidTr="00F211A9">
        <w:tc>
          <w:tcPr>
            <w:tcW w:w="1066" w:type="pct"/>
            <w:tcBorders>
              <w:top w:val="single" w:sz="4" w:space="0" w:color="auto"/>
              <w:bottom w:val="single" w:sz="4" w:space="0" w:color="auto"/>
            </w:tcBorders>
            <w:noWrap/>
          </w:tcPr>
          <w:p w14:paraId="5CFB2501"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567" w:type="pct"/>
            <w:tcBorders>
              <w:top w:val="single" w:sz="4" w:space="0" w:color="auto"/>
              <w:bottom w:val="single" w:sz="4" w:space="0" w:color="auto"/>
            </w:tcBorders>
            <w:noWrap/>
          </w:tcPr>
          <w:p w14:paraId="29C786DC" w14:textId="77777777" w:rsidR="009F3E29" w:rsidRPr="00966864" w:rsidRDefault="009F3E29" w:rsidP="009F3E29">
            <w:pPr>
              <w:autoSpaceDE w:val="0"/>
              <w:autoSpaceDN w:val="0"/>
              <w:adjustRightInd w:val="0"/>
              <w:spacing w:before="40" w:after="40" w:line="240" w:lineRule="auto"/>
              <w:rPr>
                <w:rFonts w:ascii="Arial" w:eastAsia="Batang" w:hAnsi="Arial" w:cs="Arial"/>
                <w:b/>
                <w:bCs/>
                <w:sz w:val="16"/>
                <w:szCs w:val="16"/>
              </w:rPr>
            </w:pPr>
            <w:r w:rsidRPr="00966864">
              <w:rPr>
                <w:rFonts w:ascii="Arial" w:eastAsia="Batang" w:hAnsi="Arial" w:cs="Arial"/>
                <w:b/>
                <w:bCs/>
                <w:sz w:val="16"/>
                <w:szCs w:val="16"/>
              </w:rPr>
              <w:t>SA value</w:t>
            </w:r>
          </w:p>
        </w:tc>
        <w:tc>
          <w:tcPr>
            <w:tcW w:w="731" w:type="pct"/>
            <w:gridSpan w:val="2"/>
            <w:tcBorders>
              <w:top w:val="single" w:sz="4" w:space="0" w:color="auto"/>
              <w:bottom w:val="single" w:sz="4" w:space="0" w:color="auto"/>
            </w:tcBorders>
            <w:noWrap/>
          </w:tcPr>
          <w:p w14:paraId="668D642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PA mean</w:t>
            </w:r>
          </w:p>
          <w:p w14:paraId="59495D1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(95% CI)</w:t>
            </w:r>
          </w:p>
        </w:tc>
        <w:tc>
          <w:tcPr>
            <w:tcW w:w="730" w:type="pct"/>
            <w:gridSpan w:val="2"/>
            <w:tcBorders>
              <w:top w:val="single" w:sz="4" w:space="0" w:color="auto"/>
              <w:bottom w:val="single" w:sz="4" w:space="0" w:color="auto"/>
            </w:tcBorders>
            <w:noWrap/>
          </w:tcPr>
          <w:p w14:paraId="6E859C3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PA mean</w:t>
            </w:r>
          </w:p>
          <w:p w14:paraId="16C6C7C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(95% CI)</w:t>
            </w:r>
          </w:p>
        </w:tc>
        <w:tc>
          <w:tcPr>
            <w:tcW w:w="730" w:type="pct"/>
            <w:gridSpan w:val="2"/>
            <w:tcBorders>
              <w:top w:val="single" w:sz="4" w:space="0" w:color="auto"/>
              <w:bottom w:val="single" w:sz="4" w:space="0" w:color="auto"/>
            </w:tcBorders>
            <w:noWrap/>
          </w:tcPr>
          <w:p w14:paraId="62EB7A1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PA mean</w:t>
            </w:r>
          </w:p>
          <w:p w14:paraId="7EB842F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(95% CI)</w:t>
            </w:r>
          </w:p>
        </w:tc>
        <w:tc>
          <w:tcPr>
            <w:tcW w:w="730" w:type="pct"/>
            <w:gridSpan w:val="2"/>
            <w:tcBorders>
              <w:top w:val="single" w:sz="4" w:space="0" w:color="auto"/>
              <w:bottom w:val="single" w:sz="4" w:space="0" w:color="auto"/>
            </w:tcBorders>
            <w:noWrap/>
          </w:tcPr>
          <w:p w14:paraId="7DEDB97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PA mean</w:t>
            </w:r>
          </w:p>
          <w:p w14:paraId="23F041C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
                <w:bCs/>
                <w:sz w:val="16"/>
                <w:szCs w:val="16"/>
              </w:rPr>
              <w:t>(95% CI)</w:t>
            </w:r>
          </w:p>
        </w:tc>
        <w:tc>
          <w:tcPr>
            <w:tcW w:w="445" w:type="pct"/>
            <w:tcBorders>
              <w:top w:val="single" w:sz="4" w:space="0" w:color="auto"/>
              <w:bottom w:val="single" w:sz="4" w:space="0" w:color="auto"/>
            </w:tcBorders>
            <w:noWrap/>
          </w:tcPr>
          <w:p w14:paraId="5318306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r>
      <w:tr w:rsidR="009F3E29" w:rsidRPr="00966864" w14:paraId="299E579E" w14:textId="77777777" w:rsidTr="00980A85">
        <w:tc>
          <w:tcPr>
            <w:tcW w:w="1066" w:type="pct"/>
            <w:tcBorders>
              <w:top w:val="single" w:sz="4" w:space="0" w:color="auto"/>
              <w:bottom w:val="single" w:sz="4" w:space="0" w:color="auto"/>
            </w:tcBorders>
            <w:noWrap/>
          </w:tcPr>
          <w:p w14:paraId="157D92A7" w14:textId="77777777" w:rsidR="009F3E29" w:rsidRPr="0022383B" w:rsidRDefault="009F3E29" w:rsidP="009F3E29">
            <w:pPr>
              <w:autoSpaceDE w:val="0"/>
              <w:autoSpaceDN w:val="0"/>
              <w:adjustRightInd w:val="0"/>
              <w:spacing w:before="40" w:after="40" w:line="240" w:lineRule="auto"/>
              <w:rPr>
                <w:rFonts w:ascii="Arial" w:eastAsia="Batang" w:hAnsi="Arial" w:cs="Arial"/>
                <w:bCs/>
                <w:sz w:val="16"/>
                <w:szCs w:val="16"/>
              </w:rPr>
            </w:pPr>
            <w:bookmarkStart w:id="0" w:name="_GoBack"/>
            <w:r w:rsidRPr="0022383B">
              <w:rPr>
                <w:rFonts w:ascii="Arial" w:eastAsia="Batang" w:hAnsi="Arial" w:cs="Arial"/>
                <w:bCs/>
                <w:sz w:val="16"/>
                <w:szCs w:val="16"/>
              </w:rPr>
              <w:t>Base-case lifetime</w:t>
            </w:r>
            <w:bookmarkEnd w:id="0"/>
          </w:p>
        </w:tc>
        <w:tc>
          <w:tcPr>
            <w:tcW w:w="567" w:type="pct"/>
            <w:tcBorders>
              <w:top w:val="single" w:sz="4" w:space="0" w:color="auto"/>
              <w:bottom w:val="single" w:sz="4" w:space="0" w:color="auto"/>
            </w:tcBorders>
            <w:noWrap/>
          </w:tcPr>
          <w:p w14:paraId="0D6FD65B" w14:textId="77777777" w:rsidR="009F3E29" w:rsidRPr="00966864" w:rsidRDefault="009F3E29" w:rsidP="009F3E29">
            <w:pPr>
              <w:autoSpaceDE w:val="0"/>
              <w:autoSpaceDN w:val="0"/>
              <w:adjustRightInd w:val="0"/>
              <w:spacing w:before="40" w:after="40" w:line="240" w:lineRule="auto"/>
              <w:rPr>
                <w:rFonts w:ascii="Arial" w:eastAsia="Batang" w:hAnsi="Arial" w:cs="Arial"/>
                <w:bCs/>
                <w:i/>
                <w:sz w:val="16"/>
                <w:szCs w:val="16"/>
              </w:rPr>
            </w:pPr>
          </w:p>
        </w:tc>
        <w:tc>
          <w:tcPr>
            <w:tcW w:w="365" w:type="pct"/>
            <w:tcBorders>
              <w:top w:val="single" w:sz="4" w:space="0" w:color="auto"/>
              <w:bottom w:val="single" w:sz="4" w:space="0" w:color="auto"/>
            </w:tcBorders>
            <w:noWrap/>
          </w:tcPr>
          <w:p w14:paraId="167F11B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0.1177</w:t>
            </w:r>
          </w:p>
        </w:tc>
        <w:tc>
          <w:tcPr>
            <w:tcW w:w="365" w:type="pct"/>
            <w:tcBorders>
              <w:top w:val="single" w:sz="4" w:space="0" w:color="auto"/>
              <w:bottom w:val="single" w:sz="4" w:space="0" w:color="auto"/>
            </w:tcBorders>
            <w:noWrap/>
          </w:tcPr>
          <w:p w14:paraId="23D6625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(0.05, 0.19)</w:t>
            </w:r>
          </w:p>
        </w:tc>
        <w:tc>
          <w:tcPr>
            <w:tcW w:w="365" w:type="pct"/>
            <w:tcBorders>
              <w:top w:val="single" w:sz="4" w:space="0" w:color="auto"/>
              <w:bottom w:val="single" w:sz="4" w:space="0" w:color="auto"/>
            </w:tcBorders>
            <w:noWrap/>
          </w:tcPr>
          <w:p w14:paraId="7288199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0.1282</w:t>
            </w:r>
          </w:p>
        </w:tc>
        <w:tc>
          <w:tcPr>
            <w:tcW w:w="365" w:type="pct"/>
            <w:tcBorders>
              <w:top w:val="single" w:sz="4" w:space="0" w:color="auto"/>
              <w:bottom w:val="single" w:sz="4" w:space="0" w:color="auto"/>
            </w:tcBorders>
            <w:noWrap/>
          </w:tcPr>
          <w:p w14:paraId="6A4AC29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(0.08, 0.18)</w:t>
            </w:r>
          </w:p>
        </w:tc>
        <w:tc>
          <w:tcPr>
            <w:tcW w:w="365" w:type="pct"/>
            <w:tcBorders>
              <w:top w:val="single" w:sz="4" w:space="0" w:color="auto"/>
              <w:bottom w:val="single" w:sz="4" w:space="0" w:color="auto"/>
            </w:tcBorders>
            <w:noWrap/>
          </w:tcPr>
          <w:p w14:paraId="511739A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C$1766</w:t>
            </w:r>
          </w:p>
        </w:tc>
        <w:tc>
          <w:tcPr>
            <w:tcW w:w="365" w:type="pct"/>
            <w:tcBorders>
              <w:top w:val="single" w:sz="4" w:space="0" w:color="auto"/>
              <w:bottom w:val="single" w:sz="4" w:space="0" w:color="auto"/>
            </w:tcBorders>
            <w:noWrap/>
          </w:tcPr>
          <w:p w14:paraId="030C652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(C$1167, C$2336)</w:t>
            </w:r>
          </w:p>
        </w:tc>
        <w:tc>
          <w:tcPr>
            <w:tcW w:w="365" w:type="pct"/>
            <w:tcBorders>
              <w:top w:val="single" w:sz="4" w:space="0" w:color="auto"/>
              <w:bottom w:val="single" w:sz="4" w:space="0" w:color="auto"/>
            </w:tcBorders>
            <w:noWrap/>
          </w:tcPr>
          <w:p w14:paraId="0D90A78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C$13,776</w:t>
            </w:r>
          </w:p>
        </w:tc>
        <w:tc>
          <w:tcPr>
            <w:tcW w:w="365" w:type="pct"/>
            <w:tcBorders>
              <w:top w:val="single" w:sz="4" w:space="0" w:color="auto"/>
              <w:bottom w:val="single" w:sz="4" w:space="0" w:color="auto"/>
            </w:tcBorders>
            <w:noWrap/>
          </w:tcPr>
          <w:p w14:paraId="017818F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(C$9787, C$19,448)</w:t>
            </w:r>
          </w:p>
        </w:tc>
        <w:tc>
          <w:tcPr>
            <w:tcW w:w="445" w:type="pct"/>
            <w:tcBorders>
              <w:top w:val="single" w:sz="4" w:space="0" w:color="auto"/>
              <w:bottom w:val="single" w:sz="4" w:space="0" w:color="auto"/>
            </w:tcBorders>
            <w:noWrap/>
          </w:tcPr>
          <w:p w14:paraId="7762F00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i/>
                <w:sz w:val="16"/>
                <w:szCs w:val="16"/>
              </w:rPr>
            </w:pPr>
            <w:r w:rsidRPr="00966864">
              <w:rPr>
                <w:rFonts w:ascii="Arial" w:eastAsia="Batang" w:hAnsi="Arial" w:cs="Arial"/>
                <w:bCs/>
                <w:i/>
                <w:sz w:val="16"/>
                <w:szCs w:val="16"/>
              </w:rPr>
              <w:t>–</w:t>
            </w:r>
          </w:p>
        </w:tc>
      </w:tr>
      <w:tr w:rsidR="009F3E29" w:rsidRPr="00966864" w14:paraId="239E9CE4" w14:textId="77777777" w:rsidTr="00980A85">
        <w:tc>
          <w:tcPr>
            <w:tcW w:w="1066" w:type="pct"/>
            <w:tcBorders>
              <w:top w:val="single" w:sz="4" w:space="0" w:color="auto"/>
              <w:bottom w:val="nil"/>
            </w:tcBorders>
            <w:noWrap/>
          </w:tcPr>
          <w:p w14:paraId="3A941427" w14:textId="77777777" w:rsidR="009F3E29" w:rsidRPr="00966864" w:rsidRDefault="009F3E29" w:rsidP="009F3E29">
            <w:pPr>
              <w:autoSpaceDE w:val="0"/>
              <w:autoSpaceDN w:val="0"/>
              <w:adjustRightInd w:val="0"/>
              <w:spacing w:before="40" w:after="40" w:line="240" w:lineRule="auto"/>
              <w:rPr>
                <w:rFonts w:ascii="Arial" w:eastAsia="Batang" w:hAnsi="Arial" w:cs="Arial"/>
                <w:b/>
                <w:bCs/>
                <w:sz w:val="16"/>
                <w:szCs w:val="16"/>
              </w:rPr>
            </w:pPr>
            <w:r w:rsidRPr="00966864">
              <w:rPr>
                <w:rFonts w:ascii="Arial" w:eastAsia="Batang" w:hAnsi="Arial" w:cs="Arial"/>
                <w:b/>
                <w:bCs/>
                <w:sz w:val="16"/>
                <w:szCs w:val="16"/>
              </w:rPr>
              <w:t>Sensitivity analyses</w:t>
            </w:r>
          </w:p>
        </w:tc>
        <w:tc>
          <w:tcPr>
            <w:tcW w:w="567" w:type="pct"/>
            <w:tcBorders>
              <w:top w:val="single" w:sz="4" w:space="0" w:color="auto"/>
              <w:bottom w:val="nil"/>
            </w:tcBorders>
            <w:noWrap/>
          </w:tcPr>
          <w:p w14:paraId="5DD5E825"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tcBorders>
              <w:top w:val="single" w:sz="4" w:space="0" w:color="auto"/>
              <w:bottom w:val="nil"/>
            </w:tcBorders>
            <w:noWrap/>
          </w:tcPr>
          <w:p w14:paraId="7237B45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nil"/>
            </w:tcBorders>
            <w:noWrap/>
          </w:tcPr>
          <w:p w14:paraId="5E0DA8A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nil"/>
            </w:tcBorders>
            <w:noWrap/>
          </w:tcPr>
          <w:p w14:paraId="4D0CA42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nil"/>
            </w:tcBorders>
            <w:noWrap/>
          </w:tcPr>
          <w:p w14:paraId="7901511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nil"/>
            </w:tcBorders>
            <w:noWrap/>
          </w:tcPr>
          <w:p w14:paraId="428FD32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nil"/>
            </w:tcBorders>
            <w:noWrap/>
          </w:tcPr>
          <w:p w14:paraId="22A4D1F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nil"/>
            </w:tcBorders>
            <w:noWrap/>
          </w:tcPr>
          <w:p w14:paraId="2816E2A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nil"/>
            </w:tcBorders>
            <w:noWrap/>
          </w:tcPr>
          <w:p w14:paraId="110284F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445" w:type="pct"/>
            <w:tcBorders>
              <w:top w:val="single" w:sz="4" w:space="0" w:color="auto"/>
              <w:bottom w:val="nil"/>
            </w:tcBorders>
            <w:noWrap/>
          </w:tcPr>
          <w:p w14:paraId="28B42FE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r>
      <w:tr w:rsidR="009F3E29" w:rsidRPr="00966864" w14:paraId="774484CB" w14:textId="77777777" w:rsidTr="00980A85">
        <w:tc>
          <w:tcPr>
            <w:tcW w:w="1066" w:type="pct"/>
            <w:tcBorders>
              <w:top w:val="single" w:sz="4" w:space="0" w:color="auto"/>
              <w:bottom w:val="nil"/>
            </w:tcBorders>
            <w:noWrap/>
          </w:tcPr>
          <w:p w14:paraId="16F5A6DB"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Baseline fibrinogen lower CI</w:t>
            </w:r>
          </w:p>
        </w:tc>
        <w:tc>
          <w:tcPr>
            <w:tcW w:w="567" w:type="pct"/>
            <w:tcBorders>
              <w:top w:val="single" w:sz="4" w:space="0" w:color="auto"/>
              <w:bottom w:val="nil"/>
            </w:tcBorders>
            <w:noWrap/>
          </w:tcPr>
          <w:p w14:paraId="690ED2BC"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472.83</w:t>
            </w:r>
          </w:p>
        </w:tc>
        <w:tc>
          <w:tcPr>
            <w:tcW w:w="365" w:type="pct"/>
            <w:tcBorders>
              <w:top w:val="single" w:sz="4" w:space="0" w:color="auto"/>
              <w:bottom w:val="nil"/>
            </w:tcBorders>
            <w:noWrap/>
          </w:tcPr>
          <w:p w14:paraId="78B7527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0.1183</w:t>
            </w:r>
          </w:p>
        </w:tc>
        <w:tc>
          <w:tcPr>
            <w:tcW w:w="365" w:type="pct"/>
            <w:tcBorders>
              <w:top w:val="single" w:sz="4" w:space="0" w:color="auto"/>
              <w:bottom w:val="nil"/>
            </w:tcBorders>
            <w:noWrap/>
          </w:tcPr>
          <w:p w14:paraId="2BE33C6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single" w:sz="4" w:space="0" w:color="auto"/>
              <w:bottom w:val="nil"/>
            </w:tcBorders>
            <w:noWrap/>
          </w:tcPr>
          <w:p w14:paraId="4790220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0.1283</w:t>
            </w:r>
          </w:p>
        </w:tc>
        <w:tc>
          <w:tcPr>
            <w:tcW w:w="365" w:type="pct"/>
            <w:tcBorders>
              <w:top w:val="single" w:sz="4" w:space="0" w:color="auto"/>
              <w:bottom w:val="nil"/>
            </w:tcBorders>
            <w:noWrap/>
          </w:tcPr>
          <w:p w14:paraId="7F76BA7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single" w:sz="4" w:space="0" w:color="auto"/>
              <w:bottom w:val="nil"/>
            </w:tcBorders>
            <w:noWrap/>
          </w:tcPr>
          <w:p w14:paraId="08DB4E9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C$1771</w:t>
            </w:r>
          </w:p>
        </w:tc>
        <w:tc>
          <w:tcPr>
            <w:tcW w:w="365" w:type="pct"/>
            <w:tcBorders>
              <w:top w:val="single" w:sz="4" w:space="0" w:color="auto"/>
              <w:bottom w:val="nil"/>
            </w:tcBorders>
            <w:noWrap/>
          </w:tcPr>
          <w:p w14:paraId="606343C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(C$1143, C$2339)</w:t>
            </w:r>
          </w:p>
        </w:tc>
        <w:tc>
          <w:tcPr>
            <w:tcW w:w="365" w:type="pct"/>
            <w:tcBorders>
              <w:top w:val="single" w:sz="4" w:space="0" w:color="auto"/>
              <w:bottom w:val="nil"/>
            </w:tcBorders>
            <w:noWrap/>
          </w:tcPr>
          <w:p w14:paraId="5B2C47B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C$13,807</w:t>
            </w:r>
          </w:p>
        </w:tc>
        <w:tc>
          <w:tcPr>
            <w:tcW w:w="365" w:type="pct"/>
            <w:tcBorders>
              <w:top w:val="single" w:sz="4" w:space="0" w:color="auto"/>
              <w:bottom w:val="nil"/>
            </w:tcBorders>
            <w:noWrap/>
          </w:tcPr>
          <w:p w14:paraId="4CC72AB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(C$9980, C$19,246)</w:t>
            </w:r>
          </w:p>
        </w:tc>
        <w:tc>
          <w:tcPr>
            <w:tcW w:w="445" w:type="pct"/>
            <w:tcBorders>
              <w:top w:val="single" w:sz="4" w:space="0" w:color="auto"/>
              <w:bottom w:val="nil"/>
            </w:tcBorders>
            <w:noWrap/>
          </w:tcPr>
          <w:p w14:paraId="0FBD968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w:t>
            </w:r>
          </w:p>
        </w:tc>
      </w:tr>
      <w:tr w:rsidR="009F3E29" w:rsidRPr="00966864" w14:paraId="5619E5B6" w14:textId="77777777" w:rsidTr="00980A85">
        <w:tc>
          <w:tcPr>
            <w:tcW w:w="1066" w:type="pct"/>
            <w:tcBorders>
              <w:top w:val="nil"/>
              <w:bottom w:val="nil"/>
            </w:tcBorders>
            <w:noWrap/>
          </w:tcPr>
          <w:p w14:paraId="1AA75217"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Baseline fibrinogen upper CI</w:t>
            </w:r>
          </w:p>
        </w:tc>
        <w:tc>
          <w:tcPr>
            <w:tcW w:w="567" w:type="pct"/>
            <w:tcBorders>
              <w:top w:val="nil"/>
              <w:bottom w:val="nil"/>
            </w:tcBorders>
            <w:noWrap/>
          </w:tcPr>
          <w:p w14:paraId="2004F707"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482.10</w:t>
            </w:r>
          </w:p>
        </w:tc>
        <w:tc>
          <w:tcPr>
            <w:tcW w:w="365" w:type="pct"/>
            <w:tcBorders>
              <w:top w:val="nil"/>
              <w:bottom w:val="nil"/>
            </w:tcBorders>
            <w:noWrap/>
          </w:tcPr>
          <w:p w14:paraId="798583A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0.1186</w:t>
            </w:r>
          </w:p>
        </w:tc>
        <w:tc>
          <w:tcPr>
            <w:tcW w:w="365" w:type="pct"/>
            <w:tcBorders>
              <w:top w:val="nil"/>
              <w:bottom w:val="nil"/>
            </w:tcBorders>
            <w:noWrap/>
          </w:tcPr>
          <w:p w14:paraId="1217D19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36D1664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0.1284</w:t>
            </w:r>
          </w:p>
        </w:tc>
        <w:tc>
          <w:tcPr>
            <w:tcW w:w="365" w:type="pct"/>
            <w:tcBorders>
              <w:top w:val="nil"/>
              <w:bottom w:val="nil"/>
            </w:tcBorders>
            <w:noWrap/>
          </w:tcPr>
          <w:p w14:paraId="1A4E71E4"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4E73EA1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C$1770</w:t>
            </w:r>
          </w:p>
        </w:tc>
        <w:tc>
          <w:tcPr>
            <w:tcW w:w="365" w:type="pct"/>
            <w:tcBorders>
              <w:top w:val="nil"/>
              <w:bottom w:val="nil"/>
            </w:tcBorders>
            <w:noWrap/>
          </w:tcPr>
          <w:p w14:paraId="4FE8E314"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(C$1164, C$2347)</w:t>
            </w:r>
          </w:p>
        </w:tc>
        <w:tc>
          <w:tcPr>
            <w:tcW w:w="365" w:type="pct"/>
            <w:tcBorders>
              <w:top w:val="nil"/>
              <w:bottom w:val="nil"/>
            </w:tcBorders>
            <w:noWrap/>
          </w:tcPr>
          <w:p w14:paraId="345C44D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C$13,788</w:t>
            </w:r>
          </w:p>
        </w:tc>
        <w:tc>
          <w:tcPr>
            <w:tcW w:w="365" w:type="pct"/>
            <w:tcBorders>
              <w:top w:val="nil"/>
              <w:bottom w:val="nil"/>
            </w:tcBorders>
            <w:noWrap/>
          </w:tcPr>
          <w:p w14:paraId="52CAC0E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(C$10,089, C$19,440)</w:t>
            </w:r>
          </w:p>
        </w:tc>
        <w:tc>
          <w:tcPr>
            <w:tcW w:w="445" w:type="pct"/>
            <w:tcBorders>
              <w:top w:val="nil"/>
              <w:bottom w:val="nil"/>
            </w:tcBorders>
            <w:noWrap/>
          </w:tcPr>
          <w:p w14:paraId="4756557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w:t>
            </w:r>
          </w:p>
        </w:tc>
      </w:tr>
      <w:tr w:rsidR="009F3E29" w:rsidRPr="00966864" w14:paraId="4770B483" w14:textId="77777777" w:rsidTr="00980A85">
        <w:tc>
          <w:tcPr>
            <w:tcW w:w="1066" w:type="pct"/>
            <w:tcBorders>
              <w:top w:val="nil"/>
              <w:bottom w:val="nil"/>
            </w:tcBorders>
            <w:noWrap/>
          </w:tcPr>
          <w:p w14:paraId="3A8E6064"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Baseline 6MWT lower CI</w:t>
            </w:r>
          </w:p>
        </w:tc>
        <w:tc>
          <w:tcPr>
            <w:tcW w:w="567" w:type="pct"/>
            <w:tcBorders>
              <w:top w:val="nil"/>
              <w:bottom w:val="nil"/>
            </w:tcBorders>
            <w:noWrap/>
          </w:tcPr>
          <w:p w14:paraId="0314BE0A"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360.42</w:t>
            </w:r>
          </w:p>
        </w:tc>
        <w:tc>
          <w:tcPr>
            <w:tcW w:w="365" w:type="pct"/>
            <w:tcBorders>
              <w:top w:val="nil"/>
              <w:bottom w:val="nil"/>
            </w:tcBorders>
            <w:noWrap/>
          </w:tcPr>
          <w:p w14:paraId="4DCB33B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0.1182</w:t>
            </w:r>
          </w:p>
        </w:tc>
        <w:tc>
          <w:tcPr>
            <w:tcW w:w="365" w:type="pct"/>
            <w:tcBorders>
              <w:top w:val="nil"/>
              <w:bottom w:val="nil"/>
            </w:tcBorders>
            <w:noWrap/>
          </w:tcPr>
          <w:p w14:paraId="078BC22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17A45EB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0.1283</w:t>
            </w:r>
          </w:p>
        </w:tc>
        <w:tc>
          <w:tcPr>
            <w:tcW w:w="365" w:type="pct"/>
            <w:tcBorders>
              <w:top w:val="nil"/>
              <w:bottom w:val="nil"/>
            </w:tcBorders>
            <w:noWrap/>
          </w:tcPr>
          <w:p w14:paraId="17D322D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19EC9C6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C$,774</w:t>
            </w:r>
          </w:p>
        </w:tc>
        <w:tc>
          <w:tcPr>
            <w:tcW w:w="365" w:type="pct"/>
            <w:tcBorders>
              <w:top w:val="nil"/>
              <w:bottom w:val="nil"/>
            </w:tcBorders>
            <w:noWrap/>
          </w:tcPr>
          <w:p w14:paraId="2539C0E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(C$1166, C$2336)</w:t>
            </w:r>
          </w:p>
        </w:tc>
        <w:tc>
          <w:tcPr>
            <w:tcW w:w="365" w:type="pct"/>
            <w:tcBorders>
              <w:top w:val="nil"/>
              <w:bottom w:val="nil"/>
            </w:tcBorders>
            <w:noWrap/>
          </w:tcPr>
          <w:p w14:paraId="33AA9724"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C$13,826</w:t>
            </w:r>
          </w:p>
        </w:tc>
        <w:tc>
          <w:tcPr>
            <w:tcW w:w="365" w:type="pct"/>
            <w:tcBorders>
              <w:top w:val="nil"/>
              <w:bottom w:val="nil"/>
            </w:tcBorders>
            <w:noWrap/>
          </w:tcPr>
          <w:p w14:paraId="32751A8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(C$10,080, C$19,391)</w:t>
            </w:r>
          </w:p>
        </w:tc>
        <w:tc>
          <w:tcPr>
            <w:tcW w:w="445" w:type="pct"/>
            <w:tcBorders>
              <w:top w:val="nil"/>
              <w:bottom w:val="nil"/>
            </w:tcBorders>
            <w:noWrap/>
          </w:tcPr>
          <w:p w14:paraId="51871D0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w:t>
            </w:r>
          </w:p>
        </w:tc>
      </w:tr>
      <w:tr w:rsidR="009F3E29" w:rsidRPr="00966864" w14:paraId="7E3A20C3" w14:textId="77777777" w:rsidTr="00980A85">
        <w:tc>
          <w:tcPr>
            <w:tcW w:w="1066" w:type="pct"/>
            <w:tcBorders>
              <w:top w:val="nil"/>
              <w:bottom w:val="nil"/>
            </w:tcBorders>
            <w:noWrap/>
          </w:tcPr>
          <w:p w14:paraId="49C9D6D0"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Baseline 6MWT upper CI</w:t>
            </w:r>
          </w:p>
        </w:tc>
        <w:tc>
          <w:tcPr>
            <w:tcW w:w="567" w:type="pct"/>
            <w:tcBorders>
              <w:top w:val="nil"/>
              <w:bottom w:val="nil"/>
            </w:tcBorders>
            <w:noWrap/>
          </w:tcPr>
          <w:p w14:paraId="5F42BF81"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371.17</w:t>
            </w:r>
          </w:p>
        </w:tc>
        <w:tc>
          <w:tcPr>
            <w:tcW w:w="365" w:type="pct"/>
            <w:tcBorders>
              <w:top w:val="nil"/>
              <w:bottom w:val="nil"/>
            </w:tcBorders>
            <w:noWrap/>
          </w:tcPr>
          <w:p w14:paraId="1EB99ED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0.1188</w:t>
            </w:r>
          </w:p>
        </w:tc>
        <w:tc>
          <w:tcPr>
            <w:tcW w:w="365" w:type="pct"/>
            <w:tcBorders>
              <w:top w:val="nil"/>
              <w:bottom w:val="nil"/>
            </w:tcBorders>
            <w:noWrap/>
          </w:tcPr>
          <w:p w14:paraId="520E816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11883A1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0.1287</w:t>
            </w:r>
          </w:p>
        </w:tc>
        <w:tc>
          <w:tcPr>
            <w:tcW w:w="365" w:type="pct"/>
            <w:tcBorders>
              <w:top w:val="nil"/>
              <w:bottom w:val="nil"/>
            </w:tcBorders>
            <w:noWrap/>
          </w:tcPr>
          <w:p w14:paraId="3228879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57E6E83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C$1775</w:t>
            </w:r>
          </w:p>
        </w:tc>
        <w:tc>
          <w:tcPr>
            <w:tcW w:w="365" w:type="pct"/>
            <w:tcBorders>
              <w:top w:val="nil"/>
              <w:bottom w:val="nil"/>
            </w:tcBorders>
            <w:noWrap/>
          </w:tcPr>
          <w:p w14:paraId="5067C54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(C$1181, C$2347)</w:t>
            </w:r>
          </w:p>
        </w:tc>
        <w:tc>
          <w:tcPr>
            <w:tcW w:w="365" w:type="pct"/>
            <w:tcBorders>
              <w:top w:val="nil"/>
              <w:bottom w:val="nil"/>
            </w:tcBorders>
            <w:noWrap/>
          </w:tcPr>
          <w:p w14:paraId="3807DDD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C$13,790</w:t>
            </w:r>
          </w:p>
        </w:tc>
        <w:tc>
          <w:tcPr>
            <w:tcW w:w="365" w:type="pct"/>
            <w:tcBorders>
              <w:top w:val="nil"/>
              <w:bottom w:val="nil"/>
            </w:tcBorders>
            <w:noWrap/>
          </w:tcPr>
          <w:p w14:paraId="20D6E2B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(C$10,147, C$19,249)</w:t>
            </w:r>
          </w:p>
        </w:tc>
        <w:tc>
          <w:tcPr>
            <w:tcW w:w="445" w:type="pct"/>
            <w:tcBorders>
              <w:top w:val="nil"/>
              <w:bottom w:val="nil"/>
            </w:tcBorders>
            <w:noWrap/>
          </w:tcPr>
          <w:p w14:paraId="6EC45D3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w:t>
            </w:r>
          </w:p>
        </w:tc>
      </w:tr>
      <w:tr w:rsidR="009F3E29" w:rsidRPr="00966864" w14:paraId="69B3B397" w14:textId="77777777" w:rsidTr="00980A85">
        <w:tc>
          <w:tcPr>
            <w:tcW w:w="1066" w:type="pct"/>
            <w:tcBorders>
              <w:top w:val="nil"/>
              <w:bottom w:val="nil"/>
            </w:tcBorders>
            <w:noWrap/>
            <w:vAlign w:val="center"/>
          </w:tcPr>
          <w:p w14:paraId="1707C1D1" w14:textId="0F696140" w:rsidR="009F3E29" w:rsidRPr="00966864" w:rsidRDefault="009F3E29" w:rsidP="003872CA">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 xml:space="preserve">Baseline </w:t>
            </w:r>
            <w:proofErr w:type="spellStart"/>
            <w:r w:rsidRPr="00966864">
              <w:rPr>
                <w:rFonts w:ascii="Arial" w:eastAsia="Batang" w:hAnsi="Arial" w:cs="Arial"/>
                <w:bCs/>
                <w:sz w:val="16"/>
                <w:szCs w:val="16"/>
              </w:rPr>
              <w:t>mMRC</w:t>
            </w:r>
            <w:proofErr w:type="spellEnd"/>
            <w:r w:rsidRPr="00966864">
              <w:rPr>
                <w:rFonts w:ascii="Arial" w:eastAsia="Batang" w:hAnsi="Arial" w:cs="Arial"/>
                <w:bCs/>
                <w:sz w:val="16"/>
                <w:szCs w:val="16"/>
              </w:rPr>
              <w:t xml:space="preserve"> </w:t>
            </w:r>
            <w:proofErr w:type="spellStart"/>
            <w:r w:rsidRPr="00966864">
              <w:rPr>
                <w:rFonts w:ascii="Arial" w:eastAsia="Batang" w:hAnsi="Arial" w:cs="Arial"/>
                <w:bCs/>
                <w:sz w:val="16"/>
                <w:szCs w:val="16"/>
              </w:rPr>
              <w:t>dyspnea</w:t>
            </w:r>
            <w:proofErr w:type="spellEnd"/>
            <w:r w:rsidRPr="00966864">
              <w:rPr>
                <w:rFonts w:ascii="Arial" w:eastAsia="Batang" w:hAnsi="Arial" w:cs="Arial"/>
                <w:bCs/>
                <w:sz w:val="16"/>
                <w:szCs w:val="16"/>
              </w:rPr>
              <w:t xml:space="preserve"> score ≥2 −25%</w:t>
            </w:r>
          </w:p>
        </w:tc>
        <w:tc>
          <w:tcPr>
            <w:tcW w:w="567" w:type="pct"/>
            <w:tcBorders>
              <w:top w:val="nil"/>
              <w:bottom w:val="nil"/>
            </w:tcBorders>
            <w:noWrap/>
            <w:vAlign w:val="center"/>
          </w:tcPr>
          <w:p w14:paraId="1FA334D6"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0.278</w:t>
            </w:r>
          </w:p>
        </w:tc>
        <w:tc>
          <w:tcPr>
            <w:tcW w:w="365" w:type="pct"/>
            <w:tcBorders>
              <w:top w:val="nil"/>
              <w:bottom w:val="nil"/>
            </w:tcBorders>
            <w:noWrap/>
          </w:tcPr>
          <w:p w14:paraId="532EBB4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0.1176</w:t>
            </w:r>
          </w:p>
        </w:tc>
        <w:tc>
          <w:tcPr>
            <w:tcW w:w="365" w:type="pct"/>
            <w:tcBorders>
              <w:top w:val="nil"/>
              <w:bottom w:val="nil"/>
            </w:tcBorders>
            <w:noWrap/>
          </w:tcPr>
          <w:p w14:paraId="42D35BD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4177717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0.1280</w:t>
            </w:r>
          </w:p>
        </w:tc>
        <w:tc>
          <w:tcPr>
            <w:tcW w:w="365" w:type="pct"/>
            <w:tcBorders>
              <w:top w:val="nil"/>
              <w:bottom w:val="nil"/>
            </w:tcBorders>
            <w:noWrap/>
          </w:tcPr>
          <w:p w14:paraId="1E49CA9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0FECBD5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C$1757</w:t>
            </w:r>
          </w:p>
        </w:tc>
        <w:tc>
          <w:tcPr>
            <w:tcW w:w="365" w:type="pct"/>
            <w:tcBorders>
              <w:top w:val="nil"/>
              <w:bottom w:val="nil"/>
            </w:tcBorders>
            <w:noWrap/>
          </w:tcPr>
          <w:p w14:paraId="0828BA4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(C$1109, C$2354)</w:t>
            </w:r>
          </w:p>
        </w:tc>
        <w:tc>
          <w:tcPr>
            <w:tcW w:w="365" w:type="pct"/>
            <w:tcBorders>
              <w:top w:val="nil"/>
              <w:bottom w:val="nil"/>
            </w:tcBorders>
            <w:noWrap/>
          </w:tcPr>
          <w:p w14:paraId="1D7FF3F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C$13,725</w:t>
            </w:r>
          </w:p>
        </w:tc>
        <w:tc>
          <w:tcPr>
            <w:tcW w:w="365" w:type="pct"/>
            <w:tcBorders>
              <w:top w:val="nil"/>
              <w:bottom w:val="nil"/>
            </w:tcBorders>
            <w:noWrap/>
          </w:tcPr>
          <w:p w14:paraId="50BE217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(C$9735, C$19,283)</w:t>
            </w:r>
          </w:p>
        </w:tc>
        <w:tc>
          <w:tcPr>
            <w:tcW w:w="445" w:type="pct"/>
            <w:tcBorders>
              <w:top w:val="nil"/>
              <w:bottom w:val="nil"/>
            </w:tcBorders>
            <w:noWrap/>
          </w:tcPr>
          <w:p w14:paraId="2916C5E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w:t>
            </w:r>
          </w:p>
        </w:tc>
      </w:tr>
      <w:tr w:rsidR="009F3E29" w:rsidRPr="00966864" w14:paraId="3FDA60BE" w14:textId="77777777" w:rsidTr="00980A85">
        <w:tc>
          <w:tcPr>
            <w:tcW w:w="1066" w:type="pct"/>
            <w:tcBorders>
              <w:top w:val="nil"/>
              <w:bottom w:val="nil"/>
            </w:tcBorders>
            <w:noWrap/>
          </w:tcPr>
          <w:p w14:paraId="2DFDA549" w14:textId="06CB79EB" w:rsidR="009F3E29" w:rsidRPr="00966864" w:rsidRDefault="003872CA"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 xml:space="preserve">Baseline </w:t>
            </w:r>
            <w:proofErr w:type="spellStart"/>
            <w:r w:rsidRPr="00966864">
              <w:rPr>
                <w:rFonts w:ascii="Arial" w:eastAsia="Batang" w:hAnsi="Arial" w:cs="Arial"/>
                <w:bCs/>
                <w:sz w:val="16"/>
                <w:szCs w:val="16"/>
              </w:rPr>
              <w:t>mMRC</w:t>
            </w:r>
            <w:proofErr w:type="spellEnd"/>
            <w:r w:rsidRPr="00966864">
              <w:rPr>
                <w:rFonts w:ascii="Arial" w:eastAsia="Batang" w:hAnsi="Arial" w:cs="Arial"/>
                <w:bCs/>
                <w:sz w:val="16"/>
                <w:szCs w:val="16"/>
              </w:rPr>
              <w:t xml:space="preserve"> </w:t>
            </w:r>
            <w:proofErr w:type="spellStart"/>
            <w:r w:rsidRPr="00966864">
              <w:rPr>
                <w:rFonts w:ascii="Arial" w:eastAsia="Batang" w:hAnsi="Arial" w:cs="Arial"/>
                <w:bCs/>
                <w:sz w:val="16"/>
                <w:szCs w:val="16"/>
              </w:rPr>
              <w:t>dyspn</w:t>
            </w:r>
            <w:r w:rsidR="009F3E29" w:rsidRPr="00966864">
              <w:rPr>
                <w:rFonts w:ascii="Arial" w:eastAsia="Batang" w:hAnsi="Arial" w:cs="Arial"/>
                <w:bCs/>
                <w:sz w:val="16"/>
                <w:szCs w:val="16"/>
              </w:rPr>
              <w:t>ea</w:t>
            </w:r>
            <w:proofErr w:type="spellEnd"/>
            <w:r w:rsidR="009F3E29" w:rsidRPr="00966864">
              <w:rPr>
                <w:rFonts w:ascii="Arial" w:eastAsia="Batang" w:hAnsi="Arial" w:cs="Arial"/>
                <w:bCs/>
                <w:sz w:val="16"/>
                <w:szCs w:val="16"/>
              </w:rPr>
              <w:t xml:space="preserve"> score ≥2 +25%</w:t>
            </w:r>
          </w:p>
        </w:tc>
        <w:tc>
          <w:tcPr>
            <w:tcW w:w="567" w:type="pct"/>
            <w:tcBorders>
              <w:top w:val="nil"/>
              <w:bottom w:val="nil"/>
            </w:tcBorders>
            <w:noWrap/>
          </w:tcPr>
          <w:p w14:paraId="76BABDE7"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0.463</w:t>
            </w:r>
          </w:p>
        </w:tc>
        <w:tc>
          <w:tcPr>
            <w:tcW w:w="365" w:type="pct"/>
            <w:tcBorders>
              <w:top w:val="nil"/>
              <w:bottom w:val="nil"/>
            </w:tcBorders>
            <w:noWrap/>
          </w:tcPr>
          <w:p w14:paraId="751445B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0.1176</w:t>
            </w:r>
          </w:p>
        </w:tc>
        <w:tc>
          <w:tcPr>
            <w:tcW w:w="365" w:type="pct"/>
            <w:tcBorders>
              <w:top w:val="nil"/>
              <w:bottom w:val="nil"/>
            </w:tcBorders>
            <w:noWrap/>
          </w:tcPr>
          <w:p w14:paraId="25C2A46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37296B5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0.1276</w:t>
            </w:r>
          </w:p>
        </w:tc>
        <w:tc>
          <w:tcPr>
            <w:tcW w:w="365" w:type="pct"/>
            <w:tcBorders>
              <w:top w:val="nil"/>
              <w:bottom w:val="nil"/>
            </w:tcBorders>
            <w:noWrap/>
          </w:tcPr>
          <w:p w14:paraId="4B08C33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2A3645E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C$1775</w:t>
            </w:r>
          </w:p>
        </w:tc>
        <w:tc>
          <w:tcPr>
            <w:tcW w:w="365" w:type="pct"/>
            <w:tcBorders>
              <w:top w:val="nil"/>
              <w:bottom w:val="nil"/>
            </w:tcBorders>
            <w:noWrap/>
          </w:tcPr>
          <w:p w14:paraId="7F23E9A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(C$1193, C$2328)</w:t>
            </w:r>
          </w:p>
        </w:tc>
        <w:tc>
          <w:tcPr>
            <w:tcW w:w="365" w:type="pct"/>
            <w:tcBorders>
              <w:top w:val="nil"/>
              <w:bottom w:val="nil"/>
            </w:tcBorders>
            <w:noWrap/>
          </w:tcPr>
          <w:p w14:paraId="1FC8BEB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C$13,910</w:t>
            </w:r>
          </w:p>
        </w:tc>
        <w:tc>
          <w:tcPr>
            <w:tcW w:w="365" w:type="pct"/>
            <w:tcBorders>
              <w:top w:val="nil"/>
              <w:bottom w:val="nil"/>
            </w:tcBorders>
            <w:noWrap/>
          </w:tcPr>
          <w:p w14:paraId="7349016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(C$10,148, C$19,524)</w:t>
            </w:r>
          </w:p>
        </w:tc>
        <w:tc>
          <w:tcPr>
            <w:tcW w:w="445" w:type="pct"/>
            <w:tcBorders>
              <w:top w:val="nil"/>
              <w:bottom w:val="nil"/>
            </w:tcBorders>
            <w:noWrap/>
          </w:tcPr>
          <w:p w14:paraId="52C738C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1</w:t>
            </w:r>
          </w:p>
        </w:tc>
      </w:tr>
      <w:tr w:rsidR="009F3E29" w:rsidRPr="00966864" w14:paraId="7AEB7B32" w14:textId="77777777" w:rsidTr="00980A85">
        <w:tc>
          <w:tcPr>
            <w:tcW w:w="1066" w:type="pct"/>
            <w:tcBorders>
              <w:top w:val="nil"/>
              <w:bottom w:val="nil"/>
            </w:tcBorders>
            <w:noWrap/>
          </w:tcPr>
          <w:p w14:paraId="37BE3E2D"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All hospital costs −25%</w:t>
            </w:r>
          </w:p>
        </w:tc>
        <w:tc>
          <w:tcPr>
            <w:tcW w:w="567" w:type="pct"/>
            <w:tcBorders>
              <w:top w:val="nil"/>
              <w:bottom w:val="nil"/>
            </w:tcBorders>
            <w:noWrap/>
          </w:tcPr>
          <w:p w14:paraId="1864266E"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tcBorders>
              <w:top w:val="nil"/>
              <w:bottom w:val="nil"/>
            </w:tcBorders>
            <w:noWrap/>
          </w:tcPr>
          <w:p w14:paraId="55231AE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0.1176</w:t>
            </w:r>
          </w:p>
        </w:tc>
        <w:tc>
          <w:tcPr>
            <w:tcW w:w="365" w:type="pct"/>
            <w:tcBorders>
              <w:top w:val="nil"/>
              <w:bottom w:val="nil"/>
            </w:tcBorders>
            <w:noWrap/>
          </w:tcPr>
          <w:p w14:paraId="3ECB308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1411C8D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0.1278</w:t>
            </w:r>
          </w:p>
        </w:tc>
        <w:tc>
          <w:tcPr>
            <w:tcW w:w="365" w:type="pct"/>
            <w:tcBorders>
              <w:top w:val="nil"/>
              <w:bottom w:val="nil"/>
            </w:tcBorders>
            <w:noWrap/>
          </w:tcPr>
          <w:p w14:paraId="0952CE7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48C7E72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C$1781</w:t>
            </w:r>
          </w:p>
        </w:tc>
        <w:tc>
          <w:tcPr>
            <w:tcW w:w="365" w:type="pct"/>
            <w:tcBorders>
              <w:top w:val="nil"/>
              <w:bottom w:val="nil"/>
            </w:tcBorders>
            <w:noWrap/>
          </w:tcPr>
          <w:p w14:paraId="37FB8BE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(C$1295, C$2231)</w:t>
            </w:r>
          </w:p>
        </w:tc>
        <w:tc>
          <w:tcPr>
            <w:tcW w:w="365" w:type="pct"/>
            <w:tcBorders>
              <w:top w:val="nil"/>
              <w:bottom w:val="nil"/>
            </w:tcBorders>
            <w:noWrap/>
          </w:tcPr>
          <w:p w14:paraId="4833C4E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C$13,933</w:t>
            </w:r>
          </w:p>
        </w:tc>
        <w:tc>
          <w:tcPr>
            <w:tcW w:w="365" w:type="pct"/>
            <w:tcBorders>
              <w:top w:val="nil"/>
              <w:bottom w:val="nil"/>
            </w:tcBorders>
            <w:noWrap/>
          </w:tcPr>
          <w:p w14:paraId="0514FE6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(C$10,652, C$19,848)</w:t>
            </w:r>
          </w:p>
        </w:tc>
        <w:tc>
          <w:tcPr>
            <w:tcW w:w="445" w:type="pct"/>
            <w:tcBorders>
              <w:top w:val="nil"/>
              <w:bottom w:val="nil"/>
            </w:tcBorders>
            <w:noWrap/>
          </w:tcPr>
          <w:p w14:paraId="116F6E6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1</w:t>
            </w:r>
          </w:p>
        </w:tc>
      </w:tr>
      <w:tr w:rsidR="009F3E29" w:rsidRPr="00966864" w14:paraId="31A13B68" w14:textId="77777777" w:rsidTr="00980A85">
        <w:tc>
          <w:tcPr>
            <w:tcW w:w="1066" w:type="pct"/>
            <w:tcBorders>
              <w:top w:val="nil"/>
              <w:bottom w:val="nil"/>
            </w:tcBorders>
            <w:noWrap/>
          </w:tcPr>
          <w:p w14:paraId="36E23130"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All hospital costs +25%</w:t>
            </w:r>
          </w:p>
        </w:tc>
        <w:tc>
          <w:tcPr>
            <w:tcW w:w="567" w:type="pct"/>
            <w:tcBorders>
              <w:top w:val="nil"/>
              <w:bottom w:val="nil"/>
            </w:tcBorders>
            <w:noWrap/>
          </w:tcPr>
          <w:p w14:paraId="1E85DA60"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tcBorders>
              <w:top w:val="nil"/>
              <w:bottom w:val="nil"/>
            </w:tcBorders>
            <w:noWrap/>
          </w:tcPr>
          <w:p w14:paraId="101769D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0.1186</w:t>
            </w:r>
          </w:p>
        </w:tc>
        <w:tc>
          <w:tcPr>
            <w:tcW w:w="365" w:type="pct"/>
            <w:tcBorders>
              <w:top w:val="nil"/>
              <w:bottom w:val="nil"/>
            </w:tcBorders>
            <w:noWrap/>
          </w:tcPr>
          <w:p w14:paraId="6D445C8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729FB2A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0.1286</w:t>
            </w:r>
          </w:p>
        </w:tc>
        <w:tc>
          <w:tcPr>
            <w:tcW w:w="365" w:type="pct"/>
            <w:tcBorders>
              <w:top w:val="nil"/>
              <w:bottom w:val="nil"/>
            </w:tcBorders>
            <w:noWrap/>
          </w:tcPr>
          <w:p w14:paraId="7395FFF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5C8AA43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C$1762</w:t>
            </w:r>
          </w:p>
        </w:tc>
        <w:tc>
          <w:tcPr>
            <w:tcW w:w="365" w:type="pct"/>
            <w:tcBorders>
              <w:top w:val="nil"/>
              <w:bottom w:val="nil"/>
            </w:tcBorders>
            <w:noWrap/>
          </w:tcPr>
          <w:p w14:paraId="4DC9BB7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(C$1008, C$2454)</w:t>
            </w:r>
          </w:p>
        </w:tc>
        <w:tc>
          <w:tcPr>
            <w:tcW w:w="365" w:type="pct"/>
            <w:tcBorders>
              <w:top w:val="nil"/>
              <w:bottom w:val="nil"/>
            </w:tcBorders>
            <w:noWrap/>
          </w:tcPr>
          <w:p w14:paraId="4F2907D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C$13,696</w:t>
            </w:r>
          </w:p>
        </w:tc>
        <w:tc>
          <w:tcPr>
            <w:tcW w:w="365" w:type="pct"/>
            <w:tcBorders>
              <w:top w:val="nil"/>
              <w:bottom w:val="nil"/>
            </w:tcBorders>
            <w:noWrap/>
          </w:tcPr>
          <w:p w14:paraId="741E8D8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(C$9191, C$19,681)</w:t>
            </w:r>
          </w:p>
        </w:tc>
        <w:tc>
          <w:tcPr>
            <w:tcW w:w="445" w:type="pct"/>
            <w:tcBorders>
              <w:top w:val="nil"/>
              <w:bottom w:val="nil"/>
            </w:tcBorders>
            <w:noWrap/>
          </w:tcPr>
          <w:p w14:paraId="53279C3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i/>
                <w:sz w:val="16"/>
                <w:szCs w:val="16"/>
              </w:rPr>
              <w:t>−</w:t>
            </w:r>
            <w:r w:rsidRPr="00966864">
              <w:rPr>
                <w:rFonts w:ascii="Arial" w:eastAsia="Batang" w:hAnsi="Arial" w:cs="Arial"/>
                <w:bCs/>
                <w:sz w:val="16"/>
                <w:szCs w:val="16"/>
              </w:rPr>
              <w:t>1</w:t>
            </w:r>
          </w:p>
        </w:tc>
      </w:tr>
      <w:tr w:rsidR="009F3E29" w:rsidRPr="00966864" w14:paraId="149F5920" w14:textId="77777777" w:rsidTr="00980A85">
        <w:tc>
          <w:tcPr>
            <w:tcW w:w="1066" w:type="pct"/>
            <w:tcBorders>
              <w:top w:val="nil"/>
              <w:bottom w:val="nil"/>
            </w:tcBorders>
            <w:noWrap/>
          </w:tcPr>
          <w:p w14:paraId="1170D28F"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All physician visits −25%</w:t>
            </w:r>
          </w:p>
        </w:tc>
        <w:tc>
          <w:tcPr>
            <w:tcW w:w="567" w:type="pct"/>
            <w:tcBorders>
              <w:top w:val="nil"/>
              <w:bottom w:val="nil"/>
            </w:tcBorders>
            <w:noWrap/>
          </w:tcPr>
          <w:p w14:paraId="304A8042"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tcBorders>
              <w:top w:val="nil"/>
              <w:bottom w:val="nil"/>
            </w:tcBorders>
            <w:noWrap/>
          </w:tcPr>
          <w:p w14:paraId="3527225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0.1182</w:t>
            </w:r>
          </w:p>
        </w:tc>
        <w:tc>
          <w:tcPr>
            <w:tcW w:w="365" w:type="pct"/>
            <w:tcBorders>
              <w:top w:val="nil"/>
              <w:bottom w:val="nil"/>
            </w:tcBorders>
            <w:noWrap/>
          </w:tcPr>
          <w:p w14:paraId="395C5C1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2744951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0.1280</w:t>
            </w:r>
          </w:p>
        </w:tc>
        <w:tc>
          <w:tcPr>
            <w:tcW w:w="365" w:type="pct"/>
            <w:tcBorders>
              <w:top w:val="nil"/>
              <w:bottom w:val="nil"/>
            </w:tcBorders>
            <w:noWrap/>
          </w:tcPr>
          <w:p w14:paraId="0D18BE4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09481CE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C$1772</w:t>
            </w:r>
          </w:p>
        </w:tc>
        <w:tc>
          <w:tcPr>
            <w:tcW w:w="365" w:type="pct"/>
            <w:tcBorders>
              <w:top w:val="nil"/>
              <w:bottom w:val="nil"/>
            </w:tcBorders>
            <w:noWrap/>
          </w:tcPr>
          <w:p w14:paraId="2E89C0D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(C$1165, C$2319)</w:t>
            </w:r>
          </w:p>
        </w:tc>
        <w:tc>
          <w:tcPr>
            <w:tcW w:w="365" w:type="pct"/>
            <w:tcBorders>
              <w:top w:val="nil"/>
              <w:bottom w:val="nil"/>
            </w:tcBorders>
            <w:noWrap/>
          </w:tcPr>
          <w:p w14:paraId="75B768F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C$13,846</w:t>
            </w:r>
          </w:p>
        </w:tc>
        <w:tc>
          <w:tcPr>
            <w:tcW w:w="365" w:type="pct"/>
            <w:tcBorders>
              <w:top w:val="nil"/>
              <w:bottom w:val="nil"/>
            </w:tcBorders>
            <w:noWrap/>
          </w:tcPr>
          <w:p w14:paraId="1842D7C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(C$10,152, C$19,550)</w:t>
            </w:r>
          </w:p>
        </w:tc>
        <w:tc>
          <w:tcPr>
            <w:tcW w:w="445" w:type="pct"/>
            <w:tcBorders>
              <w:top w:val="nil"/>
              <w:bottom w:val="nil"/>
            </w:tcBorders>
            <w:noWrap/>
          </w:tcPr>
          <w:p w14:paraId="575C8D2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1</w:t>
            </w:r>
          </w:p>
        </w:tc>
      </w:tr>
      <w:tr w:rsidR="009F3E29" w:rsidRPr="00966864" w14:paraId="384BDA4B" w14:textId="77777777" w:rsidTr="00980A85">
        <w:tc>
          <w:tcPr>
            <w:tcW w:w="1066" w:type="pct"/>
            <w:tcBorders>
              <w:top w:val="nil"/>
              <w:bottom w:val="nil"/>
            </w:tcBorders>
            <w:noWrap/>
          </w:tcPr>
          <w:p w14:paraId="402AD932"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All physician visits +25%</w:t>
            </w:r>
          </w:p>
        </w:tc>
        <w:tc>
          <w:tcPr>
            <w:tcW w:w="567" w:type="pct"/>
            <w:tcBorders>
              <w:top w:val="nil"/>
              <w:bottom w:val="nil"/>
            </w:tcBorders>
            <w:noWrap/>
          </w:tcPr>
          <w:p w14:paraId="46DB3253"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tcBorders>
              <w:top w:val="nil"/>
              <w:bottom w:val="nil"/>
            </w:tcBorders>
            <w:noWrap/>
          </w:tcPr>
          <w:p w14:paraId="622667D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0.1175</w:t>
            </w:r>
          </w:p>
        </w:tc>
        <w:tc>
          <w:tcPr>
            <w:tcW w:w="365" w:type="pct"/>
            <w:tcBorders>
              <w:top w:val="nil"/>
              <w:bottom w:val="nil"/>
            </w:tcBorders>
            <w:noWrap/>
          </w:tcPr>
          <w:p w14:paraId="766AFDE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nil"/>
            </w:tcBorders>
            <w:noWrap/>
          </w:tcPr>
          <w:p w14:paraId="019B230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0.1277</w:t>
            </w:r>
          </w:p>
        </w:tc>
        <w:tc>
          <w:tcPr>
            <w:tcW w:w="365" w:type="pct"/>
            <w:tcBorders>
              <w:top w:val="nil"/>
              <w:bottom w:val="nil"/>
            </w:tcBorders>
            <w:noWrap/>
          </w:tcPr>
          <w:p w14:paraId="379B2EC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tcBorders>
              <w:top w:val="nil"/>
              <w:bottom w:val="nil"/>
            </w:tcBorders>
            <w:noWrap/>
          </w:tcPr>
          <w:p w14:paraId="575EC92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C$1765</w:t>
            </w:r>
          </w:p>
        </w:tc>
        <w:tc>
          <w:tcPr>
            <w:tcW w:w="365" w:type="pct"/>
            <w:tcBorders>
              <w:top w:val="nil"/>
              <w:bottom w:val="nil"/>
            </w:tcBorders>
            <w:noWrap/>
          </w:tcPr>
          <w:p w14:paraId="6A57FDA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(C$1137, C$2333)</w:t>
            </w:r>
          </w:p>
        </w:tc>
        <w:tc>
          <w:tcPr>
            <w:tcW w:w="365" w:type="pct"/>
            <w:tcBorders>
              <w:top w:val="nil"/>
              <w:bottom w:val="nil"/>
            </w:tcBorders>
            <w:noWrap/>
          </w:tcPr>
          <w:p w14:paraId="4CAB3F7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C$13,816</w:t>
            </w:r>
          </w:p>
        </w:tc>
        <w:tc>
          <w:tcPr>
            <w:tcW w:w="365" w:type="pct"/>
            <w:tcBorders>
              <w:top w:val="nil"/>
              <w:bottom w:val="nil"/>
            </w:tcBorders>
            <w:noWrap/>
          </w:tcPr>
          <w:p w14:paraId="60ADC65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(C$10,090, C$19,325)</w:t>
            </w:r>
          </w:p>
        </w:tc>
        <w:tc>
          <w:tcPr>
            <w:tcW w:w="445" w:type="pct"/>
            <w:tcBorders>
              <w:top w:val="nil"/>
              <w:bottom w:val="nil"/>
            </w:tcBorders>
            <w:noWrap/>
          </w:tcPr>
          <w:p w14:paraId="059ECDD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w:t>
            </w:r>
          </w:p>
        </w:tc>
      </w:tr>
      <w:tr w:rsidR="009F3E29" w:rsidRPr="00966864" w14:paraId="3A39A0E1" w14:textId="77777777" w:rsidTr="00980A85">
        <w:tc>
          <w:tcPr>
            <w:tcW w:w="1066" w:type="pct"/>
            <w:tcBorders>
              <w:top w:val="nil"/>
              <w:bottom w:val="single" w:sz="4" w:space="0" w:color="auto"/>
            </w:tcBorders>
            <w:noWrap/>
          </w:tcPr>
          <w:p w14:paraId="51024EA1"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Predicted utility value in each cycle increased by 10%</w:t>
            </w:r>
          </w:p>
        </w:tc>
        <w:tc>
          <w:tcPr>
            <w:tcW w:w="567" w:type="pct"/>
            <w:tcBorders>
              <w:top w:val="nil"/>
              <w:bottom w:val="single" w:sz="4" w:space="0" w:color="auto"/>
            </w:tcBorders>
            <w:noWrap/>
          </w:tcPr>
          <w:p w14:paraId="608F5918"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0.744 (1st cycle)</w:t>
            </w:r>
          </w:p>
        </w:tc>
        <w:tc>
          <w:tcPr>
            <w:tcW w:w="365" w:type="pct"/>
            <w:tcBorders>
              <w:top w:val="nil"/>
              <w:bottom w:val="single" w:sz="4" w:space="0" w:color="auto"/>
            </w:tcBorders>
            <w:noWrap/>
          </w:tcPr>
          <w:p w14:paraId="7659C90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0.1177</w:t>
            </w:r>
          </w:p>
        </w:tc>
        <w:tc>
          <w:tcPr>
            <w:tcW w:w="365" w:type="pct"/>
            <w:tcBorders>
              <w:top w:val="nil"/>
              <w:bottom w:val="single" w:sz="4" w:space="0" w:color="auto"/>
            </w:tcBorders>
            <w:noWrap/>
          </w:tcPr>
          <w:p w14:paraId="6D83080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tcBorders>
              <w:top w:val="nil"/>
              <w:bottom w:val="single" w:sz="4" w:space="0" w:color="auto"/>
            </w:tcBorders>
            <w:noWrap/>
          </w:tcPr>
          <w:p w14:paraId="56D8151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0.1414</w:t>
            </w:r>
          </w:p>
        </w:tc>
        <w:tc>
          <w:tcPr>
            <w:tcW w:w="365" w:type="pct"/>
            <w:tcBorders>
              <w:top w:val="nil"/>
              <w:bottom w:val="single" w:sz="4" w:space="0" w:color="auto"/>
            </w:tcBorders>
            <w:noWrap/>
          </w:tcPr>
          <w:p w14:paraId="3AAEDD44"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(0.09, 0.20)</w:t>
            </w:r>
          </w:p>
        </w:tc>
        <w:tc>
          <w:tcPr>
            <w:tcW w:w="365" w:type="pct"/>
            <w:tcBorders>
              <w:top w:val="nil"/>
              <w:bottom w:val="single" w:sz="4" w:space="0" w:color="auto"/>
            </w:tcBorders>
            <w:noWrap/>
          </w:tcPr>
          <w:p w14:paraId="616B4A7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C$1768</w:t>
            </w:r>
          </w:p>
        </w:tc>
        <w:tc>
          <w:tcPr>
            <w:tcW w:w="365" w:type="pct"/>
            <w:tcBorders>
              <w:top w:val="nil"/>
              <w:bottom w:val="single" w:sz="4" w:space="0" w:color="auto"/>
            </w:tcBorders>
            <w:noWrap/>
          </w:tcPr>
          <w:p w14:paraId="6C14FCD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(C$1178, C$2340)</w:t>
            </w:r>
          </w:p>
        </w:tc>
        <w:tc>
          <w:tcPr>
            <w:tcW w:w="365" w:type="pct"/>
            <w:tcBorders>
              <w:top w:val="nil"/>
              <w:bottom w:val="single" w:sz="4" w:space="0" w:color="auto"/>
            </w:tcBorders>
            <w:noWrap/>
          </w:tcPr>
          <w:p w14:paraId="7C33B73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C$12,508</w:t>
            </w:r>
          </w:p>
        </w:tc>
        <w:tc>
          <w:tcPr>
            <w:tcW w:w="365" w:type="pct"/>
            <w:tcBorders>
              <w:top w:val="nil"/>
              <w:bottom w:val="single" w:sz="4" w:space="0" w:color="auto"/>
            </w:tcBorders>
            <w:noWrap/>
          </w:tcPr>
          <w:p w14:paraId="67098CC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(C$9191, C$17,489)</w:t>
            </w:r>
          </w:p>
        </w:tc>
        <w:tc>
          <w:tcPr>
            <w:tcW w:w="445" w:type="pct"/>
            <w:tcBorders>
              <w:top w:val="nil"/>
              <w:bottom w:val="single" w:sz="4" w:space="0" w:color="auto"/>
            </w:tcBorders>
            <w:noWrap/>
          </w:tcPr>
          <w:p w14:paraId="746AA49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i/>
                <w:sz w:val="16"/>
                <w:szCs w:val="16"/>
              </w:rPr>
              <w:t>−</w:t>
            </w:r>
            <w:r w:rsidRPr="00966864">
              <w:rPr>
                <w:rFonts w:ascii="Arial" w:eastAsia="Batang" w:hAnsi="Arial" w:cs="Arial"/>
                <w:bCs/>
                <w:sz w:val="16"/>
                <w:szCs w:val="16"/>
              </w:rPr>
              <w:t>9</w:t>
            </w:r>
          </w:p>
        </w:tc>
      </w:tr>
      <w:tr w:rsidR="009F3E29" w:rsidRPr="00966864" w14:paraId="50EDD10E" w14:textId="77777777" w:rsidTr="00980A85">
        <w:tc>
          <w:tcPr>
            <w:tcW w:w="1066" w:type="pct"/>
            <w:tcBorders>
              <w:top w:val="single" w:sz="4" w:space="0" w:color="auto"/>
              <w:bottom w:val="single" w:sz="4" w:space="0" w:color="auto"/>
            </w:tcBorders>
            <w:noWrap/>
          </w:tcPr>
          <w:p w14:paraId="4FDDB82C" w14:textId="77777777" w:rsidR="009F3E29" w:rsidRPr="00966864" w:rsidRDefault="009F3E29" w:rsidP="009F3E29">
            <w:pPr>
              <w:autoSpaceDE w:val="0"/>
              <w:autoSpaceDN w:val="0"/>
              <w:adjustRightInd w:val="0"/>
              <w:spacing w:before="40" w:after="40" w:line="240" w:lineRule="auto"/>
              <w:rPr>
                <w:rFonts w:ascii="Arial" w:eastAsia="Batang" w:hAnsi="Arial" w:cs="Arial"/>
                <w:b/>
                <w:bCs/>
                <w:sz w:val="16"/>
                <w:szCs w:val="16"/>
              </w:rPr>
            </w:pPr>
            <w:r w:rsidRPr="00966864">
              <w:rPr>
                <w:rFonts w:ascii="Arial" w:eastAsia="Batang" w:hAnsi="Arial" w:cs="Arial"/>
                <w:b/>
                <w:bCs/>
                <w:sz w:val="16"/>
                <w:szCs w:val="16"/>
              </w:rPr>
              <w:t>Scenario analyses</w:t>
            </w:r>
          </w:p>
        </w:tc>
        <w:tc>
          <w:tcPr>
            <w:tcW w:w="567" w:type="pct"/>
            <w:tcBorders>
              <w:top w:val="single" w:sz="4" w:space="0" w:color="auto"/>
              <w:bottom w:val="single" w:sz="4" w:space="0" w:color="auto"/>
            </w:tcBorders>
            <w:noWrap/>
          </w:tcPr>
          <w:p w14:paraId="07EF410F"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tcBorders>
              <w:top w:val="single" w:sz="4" w:space="0" w:color="auto"/>
              <w:bottom w:val="single" w:sz="4" w:space="0" w:color="auto"/>
            </w:tcBorders>
            <w:noWrap/>
          </w:tcPr>
          <w:p w14:paraId="009FA47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single" w:sz="4" w:space="0" w:color="auto"/>
            </w:tcBorders>
            <w:noWrap/>
          </w:tcPr>
          <w:p w14:paraId="0774E55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single" w:sz="4" w:space="0" w:color="auto"/>
            </w:tcBorders>
            <w:noWrap/>
          </w:tcPr>
          <w:p w14:paraId="2A8EDD0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single" w:sz="4" w:space="0" w:color="auto"/>
            </w:tcBorders>
            <w:noWrap/>
          </w:tcPr>
          <w:p w14:paraId="45C1164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single" w:sz="4" w:space="0" w:color="auto"/>
            </w:tcBorders>
            <w:noWrap/>
          </w:tcPr>
          <w:p w14:paraId="1B80E97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single" w:sz="4" w:space="0" w:color="auto"/>
            </w:tcBorders>
            <w:noWrap/>
          </w:tcPr>
          <w:p w14:paraId="3B885A0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single" w:sz="4" w:space="0" w:color="auto"/>
            </w:tcBorders>
            <w:noWrap/>
          </w:tcPr>
          <w:p w14:paraId="78F2D7C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365" w:type="pct"/>
            <w:tcBorders>
              <w:top w:val="single" w:sz="4" w:space="0" w:color="auto"/>
              <w:bottom w:val="single" w:sz="4" w:space="0" w:color="auto"/>
            </w:tcBorders>
            <w:noWrap/>
          </w:tcPr>
          <w:p w14:paraId="174C8BD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c>
          <w:tcPr>
            <w:tcW w:w="445" w:type="pct"/>
            <w:tcBorders>
              <w:top w:val="single" w:sz="4" w:space="0" w:color="auto"/>
              <w:bottom w:val="single" w:sz="4" w:space="0" w:color="auto"/>
            </w:tcBorders>
            <w:noWrap/>
          </w:tcPr>
          <w:p w14:paraId="6E9E7B5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p>
        </w:tc>
      </w:tr>
      <w:tr w:rsidR="009F3E29" w:rsidRPr="00966864" w14:paraId="11BFFF52" w14:textId="77777777" w:rsidTr="00980A85">
        <w:tc>
          <w:tcPr>
            <w:tcW w:w="1066" w:type="pct"/>
            <w:tcBorders>
              <w:top w:val="single" w:sz="4" w:space="0" w:color="auto"/>
            </w:tcBorders>
            <w:noWrap/>
          </w:tcPr>
          <w:p w14:paraId="4E79DF06"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5 -year time horizon</w:t>
            </w:r>
          </w:p>
        </w:tc>
        <w:tc>
          <w:tcPr>
            <w:tcW w:w="567" w:type="pct"/>
            <w:tcBorders>
              <w:top w:val="single" w:sz="4" w:space="0" w:color="auto"/>
            </w:tcBorders>
            <w:noWrap/>
          </w:tcPr>
          <w:p w14:paraId="346DDA53"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tcBorders>
              <w:top w:val="single" w:sz="4" w:space="0" w:color="auto"/>
            </w:tcBorders>
            <w:noWrap/>
          </w:tcPr>
          <w:p w14:paraId="755D6044"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0.0235</w:t>
            </w:r>
          </w:p>
        </w:tc>
        <w:tc>
          <w:tcPr>
            <w:tcW w:w="365" w:type="pct"/>
            <w:tcBorders>
              <w:top w:val="single" w:sz="4" w:space="0" w:color="auto"/>
            </w:tcBorders>
            <w:noWrap/>
          </w:tcPr>
          <w:p w14:paraId="1A4300C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(0.01, 0.04)</w:t>
            </w:r>
          </w:p>
        </w:tc>
        <w:tc>
          <w:tcPr>
            <w:tcW w:w="365" w:type="pct"/>
            <w:tcBorders>
              <w:top w:val="single" w:sz="4" w:space="0" w:color="auto"/>
            </w:tcBorders>
            <w:noWrap/>
          </w:tcPr>
          <w:p w14:paraId="178261C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0.0653</w:t>
            </w:r>
          </w:p>
        </w:tc>
        <w:tc>
          <w:tcPr>
            <w:tcW w:w="365" w:type="pct"/>
            <w:tcBorders>
              <w:top w:val="single" w:sz="4" w:space="0" w:color="auto"/>
            </w:tcBorders>
            <w:noWrap/>
          </w:tcPr>
          <w:p w14:paraId="7FED2C8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(0.04, 0.09)</w:t>
            </w:r>
          </w:p>
        </w:tc>
        <w:tc>
          <w:tcPr>
            <w:tcW w:w="365" w:type="pct"/>
            <w:tcBorders>
              <w:top w:val="single" w:sz="4" w:space="0" w:color="auto"/>
            </w:tcBorders>
            <w:noWrap/>
          </w:tcPr>
          <w:p w14:paraId="48D2748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C$1137</w:t>
            </w:r>
          </w:p>
        </w:tc>
        <w:tc>
          <w:tcPr>
            <w:tcW w:w="365" w:type="pct"/>
            <w:tcBorders>
              <w:top w:val="single" w:sz="4" w:space="0" w:color="auto"/>
            </w:tcBorders>
            <w:noWrap/>
          </w:tcPr>
          <w:p w14:paraId="4CCD93D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(C$856, C$1378)</w:t>
            </w:r>
          </w:p>
        </w:tc>
        <w:tc>
          <w:tcPr>
            <w:tcW w:w="365" w:type="pct"/>
            <w:tcBorders>
              <w:top w:val="single" w:sz="4" w:space="0" w:color="auto"/>
            </w:tcBorders>
            <w:noWrap/>
          </w:tcPr>
          <w:p w14:paraId="05ADAAC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C$17,420</w:t>
            </w:r>
          </w:p>
        </w:tc>
        <w:tc>
          <w:tcPr>
            <w:tcW w:w="365" w:type="pct"/>
            <w:tcBorders>
              <w:top w:val="single" w:sz="4" w:space="0" w:color="auto"/>
            </w:tcBorders>
            <w:noWrap/>
          </w:tcPr>
          <w:p w14:paraId="727D379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(C$11,577, C$27,475)</w:t>
            </w:r>
          </w:p>
        </w:tc>
        <w:tc>
          <w:tcPr>
            <w:tcW w:w="445" w:type="pct"/>
            <w:tcBorders>
              <w:top w:val="single" w:sz="4" w:space="0" w:color="auto"/>
            </w:tcBorders>
            <w:noWrap/>
          </w:tcPr>
          <w:p w14:paraId="48CA3E2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26</w:t>
            </w:r>
          </w:p>
        </w:tc>
      </w:tr>
      <w:tr w:rsidR="009F3E29" w:rsidRPr="00966864" w14:paraId="07D19840" w14:textId="77777777" w:rsidTr="00980A85">
        <w:tc>
          <w:tcPr>
            <w:tcW w:w="1066" w:type="pct"/>
            <w:noWrap/>
          </w:tcPr>
          <w:p w14:paraId="0DB29E65"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10-year time horizon</w:t>
            </w:r>
          </w:p>
        </w:tc>
        <w:tc>
          <w:tcPr>
            <w:tcW w:w="567" w:type="pct"/>
            <w:noWrap/>
          </w:tcPr>
          <w:p w14:paraId="1873459C"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noWrap/>
          </w:tcPr>
          <w:p w14:paraId="19423F0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0.0740</w:t>
            </w:r>
          </w:p>
        </w:tc>
        <w:tc>
          <w:tcPr>
            <w:tcW w:w="365" w:type="pct"/>
            <w:noWrap/>
          </w:tcPr>
          <w:p w14:paraId="1D77A7D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(0.03, 0.13)</w:t>
            </w:r>
          </w:p>
        </w:tc>
        <w:tc>
          <w:tcPr>
            <w:tcW w:w="365" w:type="pct"/>
            <w:noWrap/>
          </w:tcPr>
          <w:p w14:paraId="126F79F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0.1065</w:t>
            </w:r>
          </w:p>
        </w:tc>
        <w:tc>
          <w:tcPr>
            <w:tcW w:w="365" w:type="pct"/>
            <w:noWrap/>
          </w:tcPr>
          <w:p w14:paraId="59A7BB4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(0.07, 0.15)</w:t>
            </w:r>
          </w:p>
        </w:tc>
        <w:tc>
          <w:tcPr>
            <w:tcW w:w="365" w:type="pct"/>
            <w:noWrap/>
          </w:tcPr>
          <w:p w14:paraId="12C92B0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C$1486</w:t>
            </w:r>
          </w:p>
        </w:tc>
        <w:tc>
          <w:tcPr>
            <w:tcW w:w="365" w:type="pct"/>
            <w:noWrap/>
          </w:tcPr>
          <w:p w14:paraId="4A846BE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(C$1016, C$1923)</w:t>
            </w:r>
          </w:p>
        </w:tc>
        <w:tc>
          <w:tcPr>
            <w:tcW w:w="365" w:type="pct"/>
            <w:noWrap/>
          </w:tcPr>
          <w:p w14:paraId="552C7E3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C$13,946</w:t>
            </w:r>
          </w:p>
        </w:tc>
        <w:tc>
          <w:tcPr>
            <w:tcW w:w="365" w:type="pct"/>
            <w:noWrap/>
          </w:tcPr>
          <w:p w14:paraId="26F3FDF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(C$9695, C$20,827)</w:t>
            </w:r>
          </w:p>
        </w:tc>
        <w:tc>
          <w:tcPr>
            <w:tcW w:w="445" w:type="pct"/>
            <w:noWrap/>
          </w:tcPr>
          <w:p w14:paraId="7963E19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1</w:t>
            </w:r>
          </w:p>
        </w:tc>
      </w:tr>
      <w:tr w:rsidR="009F3E29" w:rsidRPr="00966864" w14:paraId="2AF8D0CD" w14:textId="77777777" w:rsidTr="00980A85">
        <w:tc>
          <w:tcPr>
            <w:tcW w:w="1066" w:type="pct"/>
            <w:noWrap/>
          </w:tcPr>
          <w:p w14:paraId="0ECA8C9F"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Discount rate 0%</w:t>
            </w:r>
          </w:p>
        </w:tc>
        <w:tc>
          <w:tcPr>
            <w:tcW w:w="567" w:type="pct"/>
            <w:noWrap/>
          </w:tcPr>
          <w:p w14:paraId="0B815A2D"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noWrap/>
          </w:tcPr>
          <w:p w14:paraId="7C6D1C7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0.1176</w:t>
            </w:r>
          </w:p>
        </w:tc>
        <w:tc>
          <w:tcPr>
            <w:tcW w:w="365" w:type="pct"/>
            <w:noWrap/>
          </w:tcPr>
          <w:p w14:paraId="00EA740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noWrap/>
          </w:tcPr>
          <w:p w14:paraId="3D70EB4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0.1387</w:t>
            </w:r>
          </w:p>
        </w:tc>
        <w:tc>
          <w:tcPr>
            <w:tcW w:w="365" w:type="pct"/>
            <w:noWrap/>
          </w:tcPr>
          <w:p w14:paraId="2FFE12D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(0.09, 0.19)</w:t>
            </w:r>
          </w:p>
        </w:tc>
        <w:tc>
          <w:tcPr>
            <w:tcW w:w="365" w:type="pct"/>
            <w:noWrap/>
          </w:tcPr>
          <w:p w14:paraId="41260C4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C$1890</w:t>
            </w:r>
          </w:p>
        </w:tc>
        <w:tc>
          <w:tcPr>
            <w:tcW w:w="365" w:type="pct"/>
            <w:noWrap/>
          </w:tcPr>
          <w:p w14:paraId="6BB142B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(C$1200, C$2535)</w:t>
            </w:r>
          </w:p>
        </w:tc>
        <w:tc>
          <w:tcPr>
            <w:tcW w:w="365" w:type="pct"/>
            <w:noWrap/>
          </w:tcPr>
          <w:p w14:paraId="0A59B1F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C$13,622</w:t>
            </w:r>
          </w:p>
        </w:tc>
        <w:tc>
          <w:tcPr>
            <w:tcW w:w="365" w:type="pct"/>
            <w:noWrap/>
          </w:tcPr>
          <w:p w14:paraId="2E0DF74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(C$9830, C$19,024)</w:t>
            </w:r>
          </w:p>
        </w:tc>
        <w:tc>
          <w:tcPr>
            <w:tcW w:w="445" w:type="pct"/>
            <w:noWrap/>
          </w:tcPr>
          <w:p w14:paraId="68D41364"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i/>
                <w:sz w:val="16"/>
                <w:szCs w:val="16"/>
              </w:rPr>
              <w:t>−</w:t>
            </w:r>
            <w:r w:rsidRPr="00966864">
              <w:rPr>
                <w:rFonts w:ascii="Arial" w:eastAsia="Batang" w:hAnsi="Arial" w:cs="Arial"/>
                <w:bCs/>
                <w:sz w:val="16"/>
                <w:szCs w:val="16"/>
              </w:rPr>
              <w:t>1</w:t>
            </w:r>
          </w:p>
        </w:tc>
      </w:tr>
      <w:tr w:rsidR="009F3E29" w:rsidRPr="00966864" w14:paraId="6F07A3A5" w14:textId="77777777" w:rsidTr="00980A85">
        <w:tc>
          <w:tcPr>
            <w:tcW w:w="1066" w:type="pct"/>
            <w:noWrap/>
          </w:tcPr>
          <w:p w14:paraId="266F0A69"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Discount rate 3%</w:t>
            </w:r>
          </w:p>
        </w:tc>
        <w:tc>
          <w:tcPr>
            <w:tcW w:w="567" w:type="pct"/>
            <w:noWrap/>
          </w:tcPr>
          <w:p w14:paraId="0CEF31FE"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noWrap/>
          </w:tcPr>
          <w:p w14:paraId="4F5D9A9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0.1183</w:t>
            </w:r>
          </w:p>
        </w:tc>
        <w:tc>
          <w:tcPr>
            <w:tcW w:w="365" w:type="pct"/>
            <w:noWrap/>
          </w:tcPr>
          <w:p w14:paraId="54FF767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noWrap/>
          </w:tcPr>
          <w:p w14:paraId="6771234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0.1189</w:t>
            </w:r>
          </w:p>
        </w:tc>
        <w:tc>
          <w:tcPr>
            <w:tcW w:w="365" w:type="pct"/>
            <w:noWrap/>
          </w:tcPr>
          <w:p w14:paraId="7A6419E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(0.08, 0.16)</w:t>
            </w:r>
          </w:p>
        </w:tc>
        <w:tc>
          <w:tcPr>
            <w:tcW w:w="365" w:type="pct"/>
            <w:noWrap/>
          </w:tcPr>
          <w:p w14:paraId="6D42F0C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C$1667</w:t>
            </w:r>
          </w:p>
        </w:tc>
        <w:tc>
          <w:tcPr>
            <w:tcW w:w="365" w:type="pct"/>
            <w:noWrap/>
          </w:tcPr>
          <w:p w14:paraId="3C1C33A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(C$1118, C$2175)</w:t>
            </w:r>
          </w:p>
        </w:tc>
        <w:tc>
          <w:tcPr>
            <w:tcW w:w="365" w:type="pct"/>
            <w:noWrap/>
          </w:tcPr>
          <w:p w14:paraId="20F63F0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C$14,025</w:t>
            </w:r>
          </w:p>
        </w:tc>
        <w:tc>
          <w:tcPr>
            <w:tcW w:w="365" w:type="pct"/>
            <w:noWrap/>
          </w:tcPr>
          <w:p w14:paraId="21DD7DB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(C$10,193, C$19,725)</w:t>
            </w:r>
          </w:p>
        </w:tc>
        <w:tc>
          <w:tcPr>
            <w:tcW w:w="445" w:type="pct"/>
            <w:noWrap/>
          </w:tcPr>
          <w:p w14:paraId="492D6EF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2</w:t>
            </w:r>
          </w:p>
        </w:tc>
      </w:tr>
      <w:tr w:rsidR="009F3E29" w:rsidRPr="00966864" w14:paraId="5D29A7DA" w14:textId="77777777" w:rsidTr="00980A85">
        <w:tc>
          <w:tcPr>
            <w:tcW w:w="1066" w:type="pct"/>
            <w:noWrap/>
          </w:tcPr>
          <w:p w14:paraId="131DD293"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lastRenderedPageBreak/>
              <w:t>Background exacerbation rate at 50%</w:t>
            </w:r>
          </w:p>
        </w:tc>
        <w:tc>
          <w:tcPr>
            <w:tcW w:w="567" w:type="pct"/>
            <w:noWrap/>
          </w:tcPr>
          <w:p w14:paraId="7A241EF3"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 xml:space="preserve">1st cycle reference treatment: 0.348 for </w:t>
            </w:r>
            <w:proofErr w:type="spellStart"/>
            <w:r w:rsidRPr="00966864">
              <w:rPr>
                <w:rFonts w:ascii="Arial" w:eastAsia="Batang" w:hAnsi="Arial" w:cs="Arial"/>
                <w:bCs/>
                <w:sz w:val="16"/>
                <w:szCs w:val="16"/>
              </w:rPr>
              <w:t>MExac</w:t>
            </w:r>
            <w:proofErr w:type="spellEnd"/>
            <w:r w:rsidRPr="00966864">
              <w:rPr>
                <w:rFonts w:ascii="Arial" w:eastAsia="Batang" w:hAnsi="Arial" w:cs="Arial"/>
                <w:bCs/>
                <w:sz w:val="16"/>
                <w:szCs w:val="16"/>
              </w:rPr>
              <w:t xml:space="preserve">; 0.004 for </w:t>
            </w:r>
            <w:proofErr w:type="spellStart"/>
            <w:r w:rsidRPr="00966864">
              <w:rPr>
                <w:rFonts w:ascii="Arial" w:eastAsia="Batang" w:hAnsi="Arial" w:cs="Arial"/>
                <w:bCs/>
                <w:sz w:val="16"/>
                <w:szCs w:val="16"/>
              </w:rPr>
              <w:t>SExac</w:t>
            </w:r>
            <w:proofErr w:type="spellEnd"/>
          </w:p>
        </w:tc>
        <w:tc>
          <w:tcPr>
            <w:tcW w:w="365" w:type="pct"/>
            <w:noWrap/>
          </w:tcPr>
          <w:p w14:paraId="56C4506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0.069</w:t>
            </w:r>
          </w:p>
        </w:tc>
        <w:tc>
          <w:tcPr>
            <w:tcW w:w="365" w:type="pct"/>
            <w:noWrap/>
          </w:tcPr>
          <w:p w14:paraId="444D70A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(0.03, 0.11)</w:t>
            </w:r>
          </w:p>
        </w:tc>
        <w:tc>
          <w:tcPr>
            <w:tcW w:w="365" w:type="pct"/>
            <w:noWrap/>
          </w:tcPr>
          <w:p w14:paraId="69E6E24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0.1020</w:t>
            </w:r>
          </w:p>
        </w:tc>
        <w:tc>
          <w:tcPr>
            <w:tcW w:w="365" w:type="pct"/>
            <w:noWrap/>
          </w:tcPr>
          <w:p w14:paraId="59846994"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(0.07, 0.14)</w:t>
            </w:r>
          </w:p>
        </w:tc>
        <w:tc>
          <w:tcPr>
            <w:tcW w:w="365" w:type="pct"/>
            <w:noWrap/>
          </w:tcPr>
          <w:p w14:paraId="47D3492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C$2226</w:t>
            </w:r>
          </w:p>
        </w:tc>
        <w:tc>
          <w:tcPr>
            <w:tcW w:w="365" w:type="pct"/>
            <w:noWrap/>
          </w:tcPr>
          <w:p w14:paraId="0FAA36B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(C$1936, C$2558)</w:t>
            </w:r>
          </w:p>
        </w:tc>
        <w:tc>
          <w:tcPr>
            <w:tcW w:w="365" w:type="pct"/>
            <w:noWrap/>
          </w:tcPr>
          <w:p w14:paraId="100199E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C$21,818</w:t>
            </w:r>
          </w:p>
        </w:tc>
        <w:tc>
          <w:tcPr>
            <w:tcW w:w="365" w:type="pct"/>
            <w:noWrap/>
          </w:tcPr>
          <w:p w14:paraId="287A8FE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(C$16,661, C$32,712)</w:t>
            </w:r>
          </w:p>
        </w:tc>
        <w:tc>
          <w:tcPr>
            <w:tcW w:w="445" w:type="pct"/>
            <w:noWrap/>
          </w:tcPr>
          <w:p w14:paraId="00EE9DD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58</w:t>
            </w:r>
          </w:p>
        </w:tc>
      </w:tr>
      <w:tr w:rsidR="009F3E29" w:rsidRPr="00966864" w14:paraId="536CD473" w14:textId="77777777" w:rsidTr="00980A85">
        <w:tc>
          <w:tcPr>
            <w:tcW w:w="1066" w:type="pct"/>
            <w:noWrap/>
          </w:tcPr>
          <w:p w14:paraId="22194E3C"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Background exacerbation rate at 200%</w:t>
            </w:r>
          </w:p>
        </w:tc>
        <w:tc>
          <w:tcPr>
            <w:tcW w:w="567" w:type="pct"/>
            <w:noWrap/>
          </w:tcPr>
          <w:p w14:paraId="3FDB124A"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 xml:space="preserve">1st cycle reference treatment: 2.632 for </w:t>
            </w:r>
            <w:proofErr w:type="spellStart"/>
            <w:r w:rsidRPr="00966864">
              <w:rPr>
                <w:rFonts w:ascii="Arial" w:eastAsia="Batang" w:hAnsi="Arial" w:cs="Arial"/>
                <w:bCs/>
                <w:sz w:val="16"/>
                <w:szCs w:val="16"/>
              </w:rPr>
              <w:t>MExac</w:t>
            </w:r>
            <w:proofErr w:type="spellEnd"/>
            <w:r w:rsidRPr="00966864">
              <w:rPr>
                <w:rFonts w:ascii="Arial" w:eastAsia="Batang" w:hAnsi="Arial" w:cs="Arial"/>
                <w:bCs/>
                <w:sz w:val="16"/>
                <w:szCs w:val="16"/>
              </w:rPr>
              <w:t xml:space="preserve">; 1.735 for </w:t>
            </w:r>
            <w:proofErr w:type="spellStart"/>
            <w:r w:rsidRPr="00966864">
              <w:rPr>
                <w:rFonts w:ascii="Arial" w:eastAsia="Batang" w:hAnsi="Arial" w:cs="Arial"/>
                <w:bCs/>
                <w:sz w:val="16"/>
                <w:szCs w:val="16"/>
              </w:rPr>
              <w:t>SExac</w:t>
            </w:r>
            <w:proofErr w:type="spellEnd"/>
          </w:p>
        </w:tc>
        <w:tc>
          <w:tcPr>
            <w:tcW w:w="365" w:type="pct"/>
            <w:noWrap/>
          </w:tcPr>
          <w:p w14:paraId="5259671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0.2601</w:t>
            </w:r>
          </w:p>
        </w:tc>
        <w:tc>
          <w:tcPr>
            <w:tcW w:w="365" w:type="pct"/>
            <w:noWrap/>
          </w:tcPr>
          <w:p w14:paraId="4AD4BEC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(−0.16, 0.52)</w:t>
            </w:r>
          </w:p>
        </w:tc>
        <w:tc>
          <w:tcPr>
            <w:tcW w:w="365" w:type="pct"/>
            <w:noWrap/>
          </w:tcPr>
          <w:p w14:paraId="5EA71DC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0.2079</w:t>
            </w:r>
          </w:p>
        </w:tc>
        <w:tc>
          <w:tcPr>
            <w:tcW w:w="365" w:type="pct"/>
            <w:noWrap/>
          </w:tcPr>
          <w:p w14:paraId="4C2E141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(0.06, 0.33)</w:t>
            </w:r>
          </w:p>
        </w:tc>
        <w:tc>
          <w:tcPr>
            <w:tcW w:w="365" w:type="pct"/>
            <w:noWrap/>
          </w:tcPr>
          <w:p w14:paraId="1EC5840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−C$15,752</w:t>
            </w:r>
          </w:p>
        </w:tc>
        <w:tc>
          <w:tcPr>
            <w:tcW w:w="365" w:type="pct"/>
            <w:noWrap/>
          </w:tcPr>
          <w:p w14:paraId="1A67F4C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 xml:space="preserve">(−C$45,232, </w:t>
            </w:r>
            <w:r w:rsidRPr="00966864">
              <w:rPr>
                <w:rFonts w:ascii="Arial" w:eastAsia="Batang" w:hAnsi="Arial" w:cs="Arial"/>
                <w:bCs/>
                <w:sz w:val="16"/>
                <w:szCs w:val="16"/>
              </w:rPr>
              <w:br/>
              <w:t>−C$1699)</w:t>
            </w:r>
          </w:p>
        </w:tc>
        <w:tc>
          <w:tcPr>
            <w:tcW w:w="365" w:type="pct"/>
            <w:noWrap/>
          </w:tcPr>
          <w:p w14:paraId="2126ABD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Dominant</w:t>
            </w:r>
          </w:p>
        </w:tc>
        <w:tc>
          <w:tcPr>
            <w:tcW w:w="365" w:type="pct"/>
            <w:noWrap/>
          </w:tcPr>
          <w:p w14:paraId="639B5BB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(−C$619,606, −C$4863)</w:t>
            </w:r>
          </w:p>
        </w:tc>
        <w:tc>
          <w:tcPr>
            <w:tcW w:w="445" w:type="pct"/>
            <w:noWrap/>
          </w:tcPr>
          <w:p w14:paraId="5A1ADBB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NA</w:t>
            </w:r>
          </w:p>
        </w:tc>
      </w:tr>
      <w:tr w:rsidR="009F3E29" w:rsidRPr="00966864" w14:paraId="7BAABF66" w14:textId="77777777" w:rsidTr="00980A85">
        <w:tc>
          <w:tcPr>
            <w:tcW w:w="1066" w:type="pct"/>
            <w:noWrap/>
          </w:tcPr>
          <w:p w14:paraId="111F241C"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Treatment discontinuation for subsequent years 0%</w:t>
            </w:r>
          </w:p>
        </w:tc>
        <w:tc>
          <w:tcPr>
            <w:tcW w:w="567" w:type="pct"/>
            <w:noWrap/>
          </w:tcPr>
          <w:p w14:paraId="72B901F6"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noWrap/>
          </w:tcPr>
          <w:p w14:paraId="3E8D389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0.3575</w:t>
            </w:r>
          </w:p>
        </w:tc>
        <w:tc>
          <w:tcPr>
            <w:tcW w:w="365" w:type="pct"/>
            <w:noWrap/>
          </w:tcPr>
          <w:p w14:paraId="4AC2082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(0.13, 0.60)</w:t>
            </w:r>
          </w:p>
        </w:tc>
        <w:tc>
          <w:tcPr>
            <w:tcW w:w="365" w:type="pct"/>
            <w:noWrap/>
          </w:tcPr>
          <w:p w14:paraId="10BF723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0.3168</w:t>
            </w:r>
          </w:p>
        </w:tc>
        <w:tc>
          <w:tcPr>
            <w:tcW w:w="365" w:type="pct"/>
            <w:noWrap/>
          </w:tcPr>
          <w:p w14:paraId="1B8DB51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(0.19, 0.46)</w:t>
            </w:r>
          </w:p>
        </w:tc>
        <w:tc>
          <w:tcPr>
            <w:tcW w:w="365" w:type="pct"/>
            <w:noWrap/>
          </w:tcPr>
          <w:p w14:paraId="26684E8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C$4291</w:t>
            </w:r>
          </w:p>
        </w:tc>
        <w:tc>
          <w:tcPr>
            <w:tcW w:w="365" w:type="pct"/>
            <w:noWrap/>
          </w:tcPr>
          <w:p w14:paraId="0A9871F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(C$2430, C$6043)</w:t>
            </w:r>
          </w:p>
        </w:tc>
        <w:tc>
          <w:tcPr>
            <w:tcW w:w="365" w:type="pct"/>
            <w:noWrap/>
          </w:tcPr>
          <w:p w14:paraId="15591F6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C$13,546</w:t>
            </w:r>
          </w:p>
        </w:tc>
        <w:tc>
          <w:tcPr>
            <w:tcW w:w="365" w:type="pct"/>
            <w:noWrap/>
          </w:tcPr>
          <w:p w14:paraId="1716398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(C$9375, C$18,933)</w:t>
            </w:r>
          </w:p>
        </w:tc>
        <w:tc>
          <w:tcPr>
            <w:tcW w:w="445" w:type="pct"/>
            <w:noWrap/>
          </w:tcPr>
          <w:p w14:paraId="4AAA206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i/>
                <w:sz w:val="16"/>
                <w:szCs w:val="16"/>
              </w:rPr>
              <w:t>−</w:t>
            </w:r>
            <w:r w:rsidRPr="00966864">
              <w:rPr>
                <w:rFonts w:ascii="Arial" w:eastAsia="Batang" w:hAnsi="Arial" w:cs="Arial"/>
                <w:bCs/>
                <w:sz w:val="16"/>
                <w:szCs w:val="16"/>
              </w:rPr>
              <w:t>2</w:t>
            </w:r>
          </w:p>
        </w:tc>
      </w:tr>
      <w:tr w:rsidR="009F3E29" w:rsidRPr="00966864" w14:paraId="6358F61E" w14:textId="77777777" w:rsidTr="00980A85">
        <w:tc>
          <w:tcPr>
            <w:tcW w:w="1066" w:type="pct"/>
            <w:noWrap/>
          </w:tcPr>
          <w:p w14:paraId="607DA909"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Set treatment effect for subsequent therapies same as SITT</w:t>
            </w:r>
          </w:p>
        </w:tc>
        <w:tc>
          <w:tcPr>
            <w:tcW w:w="567" w:type="pct"/>
            <w:noWrap/>
          </w:tcPr>
          <w:p w14:paraId="4FCA9735"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p>
        </w:tc>
        <w:tc>
          <w:tcPr>
            <w:tcW w:w="365" w:type="pct"/>
            <w:noWrap/>
          </w:tcPr>
          <w:p w14:paraId="2A17BD6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0.0735</w:t>
            </w:r>
          </w:p>
        </w:tc>
        <w:tc>
          <w:tcPr>
            <w:tcW w:w="365" w:type="pct"/>
            <w:noWrap/>
          </w:tcPr>
          <w:p w14:paraId="6BC9B02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(0.03, 0.12)</w:t>
            </w:r>
          </w:p>
        </w:tc>
        <w:tc>
          <w:tcPr>
            <w:tcW w:w="365" w:type="pct"/>
            <w:noWrap/>
          </w:tcPr>
          <w:p w14:paraId="337851B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0.0856</w:t>
            </w:r>
          </w:p>
        </w:tc>
        <w:tc>
          <w:tcPr>
            <w:tcW w:w="365" w:type="pct"/>
            <w:noWrap/>
          </w:tcPr>
          <w:p w14:paraId="29E3A92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(0.05, 0.12)</w:t>
            </w:r>
          </w:p>
        </w:tc>
        <w:tc>
          <w:tcPr>
            <w:tcW w:w="365" w:type="pct"/>
            <w:noWrap/>
          </w:tcPr>
          <w:p w14:paraId="1DDC340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C$1702</w:t>
            </w:r>
          </w:p>
        </w:tc>
        <w:tc>
          <w:tcPr>
            <w:tcW w:w="365" w:type="pct"/>
            <w:noWrap/>
          </w:tcPr>
          <w:p w14:paraId="23C5A12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(C$1321, C$2091)</w:t>
            </w:r>
          </w:p>
        </w:tc>
        <w:tc>
          <w:tcPr>
            <w:tcW w:w="365" w:type="pct"/>
            <w:noWrap/>
          </w:tcPr>
          <w:p w14:paraId="6FC3309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C$19,880</w:t>
            </w:r>
          </w:p>
        </w:tc>
        <w:tc>
          <w:tcPr>
            <w:tcW w:w="365" w:type="pct"/>
            <w:noWrap/>
          </w:tcPr>
          <w:p w14:paraId="2E2D487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(C$15,352, C$28,833)</w:t>
            </w:r>
          </w:p>
        </w:tc>
        <w:tc>
          <w:tcPr>
            <w:tcW w:w="445" w:type="pct"/>
            <w:noWrap/>
          </w:tcPr>
          <w:p w14:paraId="1A41A4B8"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44</w:t>
            </w:r>
          </w:p>
        </w:tc>
      </w:tr>
      <w:tr w:rsidR="009F3E29" w:rsidRPr="00966864" w14:paraId="1CDF2AA1" w14:textId="77777777" w:rsidTr="00980A85">
        <w:tc>
          <w:tcPr>
            <w:tcW w:w="1066" w:type="pct"/>
            <w:noWrap/>
          </w:tcPr>
          <w:p w14:paraId="66E6BD7B"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 xml:space="preserve">For subsequent therapies – assume </w:t>
            </w:r>
            <w:r w:rsidRPr="00966864">
              <w:rPr>
                <w:rFonts w:ascii="Arial" w:eastAsia="Batang" w:hAnsi="Arial" w:cs="Arial"/>
                <w:bCs/>
                <w:sz w:val="16"/>
                <w:szCs w:val="16"/>
              </w:rPr>
              <w:br/>
              <w:t xml:space="preserve">100% market share of product with </w:t>
            </w:r>
            <w:r w:rsidRPr="00966864">
              <w:rPr>
                <w:rFonts w:ascii="Arial" w:eastAsia="Batang" w:hAnsi="Arial" w:cs="Arial"/>
                <w:bCs/>
                <w:sz w:val="16"/>
                <w:szCs w:val="16"/>
              </w:rPr>
              <w:br/>
              <w:t>highest cost in each treatment class</w:t>
            </w:r>
          </w:p>
        </w:tc>
        <w:tc>
          <w:tcPr>
            <w:tcW w:w="567" w:type="pct"/>
            <w:noWrap/>
          </w:tcPr>
          <w:p w14:paraId="3CFFF6B1"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5.31</w:t>
            </w:r>
          </w:p>
        </w:tc>
        <w:tc>
          <w:tcPr>
            <w:tcW w:w="365" w:type="pct"/>
            <w:noWrap/>
          </w:tcPr>
          <w:p w14:paraId="42A7CA6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0.1187</w:t>
            </w:r>
          </w:p>
        </w:tc>
        <w:tc>
          <w:tcPr>
            <w:tcW w:w="365" w:type="pct"/>
            <w:noWrap/>
          </w:tcPr>
          <w:p w14:paraId="3A0DA78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noWrap/>
          </w:tcPr>
          <w:p w14:paraId="38E1413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0.1290</w:t>
            </w:r>
          </w:p>
        </w:tc>
        <w:tc>
          <w:tcPr>
            <w:tcW w:w="365" w:type="pct"/>
            <w:noWrap/>
          </w:tcPr>
          <w:p w14:paraId="348F738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noWrap/>
          </w:tcPr>
          <w:p w14:paraId="7E50FE9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C$1432</w:t>
            </w:r>
          </w:p>
        </w:tc>
        <w:tc>
          <w:tcPr>
            <w:tcW w:w="365" w:type="pct"/>
            <w:noWrap/>
          </w:tcPr>
          <w:p w14:paraId="044448F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(C$809, C$2019)</w:t>
            </w:r>
          </w:p>
        </w:tc>
        <w:tc>
          <w:tcPr>
            <w:tcW w:w="365" w:type="pct"/>
            <w:noWrap/>
          </w:tcPr>
          <w:p w14:paraId="4AB0F33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C$11,107</w:t>
            </w:r>
          </w:p>
        </w:tc>
        <w:tc>
          <w:tcPr>
            <w:tcW w:w="365" w:type="pct"/>
            <w:noWrap/>
          </w:tcPr>
          <w:p w14:paraId="0170697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(C$7216, C$15,914)</w:t>
            </w:r>
          </w:p>
        </w:tc>
        <w:tc>
          <w:tcPr>
            <w:tcW w:w="445" w:type="pct"/>
            <w:noWrap/>
          </w:tcPr>
          <w:p w14:paraId="508BC3B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i/>
                <w:sz w:val="16"/>
                <w:szCs w:val="16"/>
              </w:rPr>
              <w:t>−</w:t>
            </w:r>
            <w:r w:rsidRPr="00966864">
              <w:rPr>
                <w:rFonts w:ascii="Arial" w:eastAsia="Batang" w:hAnsi="Arial" w:cs="Arial"/>
                <w:bCs/>
                <w:sz w:val="16"/>
                <w:szCs w:val="16"/>
              </w:rPr>
              <w:t>19</w:t>
            </w:r>
          </w:p>
        </w:tc>
      </w:tr>
      <w:tr w:rsidR="009F3E29" w:rsidRPr="00966864" w14:paraId="5A547059" w14:textId="77777777" w:rsidTr="00980A85">
        <w:tc>
          <w:tcPr>
            <w:tcW w:w="1066" w:type="pct"/>
            <w:noWrap/>
          </w:tcPr>
          <w:p w14:paraId="387332D0"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 xml:space="preserve">For subsequent therapies – assume </w:t>
            </w:r>
            <w:r w:rsidRPr="00966864">
              <w:rPr>
                <w:rFonts w:ascii="Arial" w:eastAsia="Batang" w:hAnsi="Arial" w:cs="Arial"/>
                <w:bCs/>
                <w:sz w:val="16"/>
                <w:szCs w:val="16"/>
              </w:rPr>
              <w:br/>
              <w:t xml:space="preserve">100% market share of product with </w:t>
            </w:r>
            <w:r w:rsidRPr="00966864">
              <w:rPr>
                <w:rFonts w:ascii="Arial" w:eastAsia="Batang" w:hAnsi="Arial" w:cs="Arial"/>
                <w:bCs/>
                <w:sz w:val="16"/>
                <w:szCs w:val="16"/>
              </w:rPr>
              <w:br/>
              <w:t>lowest cost in each treatment class</w:t>
            </w:r>
          </w:p>
        </w:tc>
        <w:tc>
          <w:tcPr>
            <w:tcW w:w="567" w:type="pct"/>
            <w:noWrap/>
          </w:tcPr>
          <w:p w14:paraId="3671249D"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3.13</w:t>
            </w:r>
          </w:p>
        </w:tc>
        <w:tc>
          <w:tcPr>
            <w:tcW w:w="365" w:type="pct"/>
            <w:noWrap/>
          </w:tcPr>
          <w:p w14:paraId="2D9666B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0.1170</w:t>
            </w:r>
          </w:p>
        </w:tc>
        <w:tc>
          <w:tcPr>
            <w:tcW w:w="365" w:type="pct"/>
            <w:noWrap/>
          </w:tcPr>
          <w:p w14:paraId="7DEF3F7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noWrap/>
          </w:tcPr>
          <w:p w14:paraId="5E63836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0.1276</w:t>
            </w:r>
          </w:p>
        </w:tc>
        <w:tc>
          <w:tcPr>
            <w:tcW w:w="365" w:type="pct"/>
            <w:noWrap/>
          </w:tcPr>
          <w:p w14:paraId="2AB54DA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noWrap/>
          </w:tcPr>
          <w:p w14:paraId="0870D8D6"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C$2143</w:t>
            </w:r>
          </w:p>
        </w:tc>
        <w:tc>
          <w:tcPr>
            <w:tcW w:w="365" w:type="pct"/>
            <w:noWrap/>
          </w:tcPr>
          <w:p w14:paraId="6C3B430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(C$1554, C$2704)</w:t>
            </w:r>
          </w:p>
        </w:tc>
        <w:tc>
          <w:tcPr>
            <w:tcW w:w="365" w:type="pct"/>
            <w:noWrap/>
          </w:tcPr>
          <w:p w14:paraId="388894E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C$16,798</w:t>
            </w:r>
          </w:p>
        </w:tc>
        <w:tc>
          <w:tcPr>
            <w:tcW w:w="365" w:type="pct"/>
            <w:noWrap/>
          </w:tcPr>
          <w:p w14:paraId="6AC6395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(C$12,823, C$23,904)</w:t>
            </w:r>
          </w:p>
        </w:tc>
        <w:tc>
          <w:tcPr>
            <w:tcW w:w="445" w:type="pct"/>
            <w:noWrap/>
          </w:tcPr>
          <w:p w14:paraId="51919D8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22</w:t>
            </w:r>
          </w:p>
        </w:tc>
      </w:tr>
      <w:tr w:rsidR="009F3E29" w:rsidRPr="00966864" w14:paraId="0507C2A4" w14:textId="77777777" w:rsidTr="00980A85">
        <w:tc>
          <w:tcPr>
            <w:tcW w:w="1066" w:type="pct"/>
            <w:noWrap/>
          </w:tcPr>
          <w:p w14:paraId="7466E44A"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 xml:space="preserve">For subsequent therapies – generic </w:t>
            </w:r>
            <w:r w:rsidRPr="00966864">
              <w:rPr>
                <w:rFonts w:ascii="Arial" w:eastAsia="Batang" w:hAnsi="Arial" w:cs="Arial"/>
                <w:bCs/>
                <w:sz w:val="16"/>
                <w:szCs w:val="16"/>
              </w:rPr>
              <w:br/>
              <w:t xml:space="preserve">pricing for FP/SAL DPI (75% of current </w:t>
            </w:r>
            <w:r w:rsidRPr="00966864">
              <w:rPr>
                <w:rFonts w:ascii="Arial" w:eastAsia="Batang" w:hAnsi="Arial" w:cs="Arial"/>
                <w:bCs/>
                <w:sz w:val="16"/>
                <w:szCs w:val="16"/>
              </w:rPr>
              <w:br/>
              <w:t>cost in weight calculation)</w:t>
            </w:r>
          </w:p>
        </w:tc>
        <w:tc>
          <w:tcPr>
            <w:tcW w:w="567" w:type="pct"/>
            <w:noWrap/>
          </w:tcPr>
          <w:p w14:paraId="2A50E28C"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4.22</w:t>
            </w:r>
          </w:p>
        </w:tc>
        <w:tc>
          <w:tcPr>
            <w:tcW w:w="365" w:type="pct"/>
            <w:noWrap/>
          </w:tcPr>
          <w:p w14:paraId="7C0FCB7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0.1187</w:t>
            </w:r>
          </w:p>
        </w:tc>
        <w:tc>
          <w:tcPr>
            <w:tcW w:w="365" w:type="pct"/>
            <w:noWrap/>
          </w:tcPr>
          <w:p w14:paraId="04FE177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noWrap/>
          </w:tcPr>
          <w:p w14:paraId="22D7B5CF"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0.1289</w:t>
            </w:r>
          </w:p>
        </w:tc>
        <w:tc>
          <w:tcPr>
            <w:tcW w:w="365" w:type="pct"/>
            <w:noWrap/>
          </w:tcPr>
          <w:p w14:paraId="48667DC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noWrap/>
          </w:tcPr>
          <w:p w14:paraId="1EF4CC6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C$1802</w:t>
            </w:r>
          </w:p>
        </w:tc>
        <w:tc>
          <w:tcPr>
            <w:tcW w:w="365" w:type="pct"/>
            <w:noWrap/>
          </w:tcPr>
          <w:p w14:paraId="30528EB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(C$1183, C$2373)</w:t>
            </w:r>
          </w:p>
        </w:tc>
        <w:tc>
          <w:tcPr>
            <w:tcW w:w="365" w:type="pct"/>
            <w:noWrap/>
          </w:tcPr>
          <w:p w14:paraId="6A38FF2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C$13,976</w:t>
            </w:r>
          </w:p>
        </w:tc>
        <w:tc>
          <w:tcPr>
            <w:tcW w:w="365" w:type="pct"/>
            <w:noWrap/>
          </w:tcPr>
          <w:p w14:paraId="27A0853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(C$10,238, C$19,480)</w:t>
            </w:r>
          </w:p>
        </w:tc>
        <w:tc>
          <w:tcPr>
            <w:tcW w:w="445" w:type="pct"/>
            <w:noWrap/>
          </w:tcPr>
          <w:p w14:paraId="5424060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1</w:t>
            </w:r>
          </w:p>
        </w:tc>
      </w:tr>
      <w:tr w:rsidR="009F3E29" w:rsidRPr="00966864" w14:paraId="22FCA231" w14:textId="77777777" w:rsidTr="00980A85">
        <w:tc>
          <w:tcPr>
            <w:tcW w:w="1066" w:type="pct"/>
            <w:noWrap/>
          </w:tcPr>
          <w:p w14:paraId="15C2B25F"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 xml:space="preserve">For subsequent therapies – generic </w:t>
            </w:r>
            <w:r w:rsidRPr="00966864">
              <w:rPr>
                <w:rFonts w:ascii="Arial" w:eastAsia="Batang" w:hAnsi="Arial" w:cs="Arial"/>
                <w:bCs/>
                <w:sz w:val="16"/>
                <w:szCs w:val="16"/>
              </w:rPr>
              <w:br/>
              <w:t xml:space="preserve">pricing for FP/SAL DPI (35% of current </w:t>
            </w:r>
            <w:r w:rsidRPr="00966864">
              <w:rPr>
                <w:rFonts w:ascii="Arial" w:eastAsia="Batang" w:hAnsi="Arial" w:cs="Arial"/>
                <w:bCs/>
                <w:sz w:val="16"/>
                <w:szCs w:val="16"/>
              </w:rPr>
              <w:br/>
              <w:t>cost in weighted calculation)</w:t>
            </w:r>
          </w:p>
        </w:tc>
        <w:tc>
          <w:tcPr>
            <w:tcW w:w="567" w:type="pct"/>
            <w:noWrap/>
          </w:tcPr>
          <w:p w14:paraId="6941A11A"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4.10</w:t>
            </w:r>
          </w:p>
        </w:tc>
        <w:tc>
          <w:tcPr>
            <w:tcW w:w="365" w:type="pct"/>
            <w:noWrap/>
          </w:tcPr>
          <w:p w14:paraId="15CE644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0.1183</w:t>
            </w:r>
          </w:p>
        </w:tc>
        <w:tc>
          <w:tcPr>
            <w:tcW w:w="365" w:type="pct"/>
            <w:noWrap/>
          </w:tcPr>
          <w:p w14:paraId="29EA8922"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noWrap/>
          </w:tcPr>
          <w:p w14:paraId="259BA8CE"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0.1282</w:t>
            </w:r>
          </w:p>
        </w:tc>
        <w:tc>
          <w:tcPr>
            <w:tcW w:w="365" w:type="pct"/>
            <w:noWrap/>
          </w:tcPr>
          <w:p w14:paraId="5FA7BD4D"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noWrap/>
          </w:tcPr>
          <w:p w14:paraId="41162457"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C$1833</w:t>
            </w:r>
          </w:p>
        </w:tc>
        <w:tc>
          <w:tcPr>
            <w:tcW w:w="365" w:type="pct"/>
            <w:noWrap/>
          </w:tcPr>
          <w:p w14:paraId="097CF0A1"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(C$1221, C$2397)</w:t>
            </w:r>
          </w:p>
        </w:tc>
        <w:tc>
          <w:tcPr>
            <w:tcW w:w="365" w:type="pct"/>
            <w:noWrap/>
          </w:tcPr>
          <w:p w14:paraId="19280DDB"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C$14,291</w:t>
            </w:r>
          </w:p>
        </w:tc>
        <w:tc>
          <w:tcPr>
            <w:tcW w:w="365" w:type="pct"/>
            <w:noWrap/>
          </w:tcPr>
          <w:p w14:paraId="30A85B5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(C$10,538, C$20,013)</w:t>
            </w:r>
          </w:p>
        </w:tc>
        <w:tc>
          <w:tcPr>
            <w:tcW w:w="445" w:type="pct"/>
            <w:noWrap/>
          </w:tcPr>
          <w:p w14:paraId="45C49E6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4</w:t>
            </w:r>
          </w:p>
        </w:tc>
      </w:tr>
      <w:tr w:rsidR="009F3E29" w:rsidRPr="00966864" w14:paraId="3207E3A6" w14:textId="77777777" w:rsidTr="00980A85">
        <w:tc>
          <w:tcPr>
            <w:tcW w:w="1066" w:type="pct"/>
            <w:noWrap/>
          </w:tcPr>
          <w:p w14:paraId="50E6F90F" w14:textId="6D8447EF" w:rsidR="009F3E29" w:rsidRPr="00966864" w:rsidRDefault="00CC3543" w:rsidP="009F3E29">
            <w:pPr>
              <w:autoSpaceDE w:val="0"/>
              <w:autoSpaceDN w:val="0"/>
              <w:adjustRightInd w:val="0"/>
              <w:spacing w:before="40" w:after="40" w:line="240" w:lineRule="auto"/>
              <w:rPr>
                <w:rFonts w:ascii="Arial" w:eastAsia="Batang" w:hAnsi="Arial" w:cs="Arial"/>
                <w:bCs/>
                <w:sz w:val="16"/>
                <w:szCs w:val="16"/>
              </w:rPr>
            </w:pPr>
            <w:r>
              <w:rPr>
                <w:rFonts w:ascii="Arial" w:eastAsia="Batang" w:hAnsi="Arial" w:cs="Arial"/>
                <w:bCs/>
                <w:sz w:val="16"/>
                <w:szCs w:val="16"/>
              </w:rPr>
              <w:t>Use utiliz</w:t>
            </w:r>
            <w:r w:rsidR="009F3E29" w:rsidRPr="00966864">
              <w:rPr>
                <w:rFonts w:ascii="Arial" w:eastAsia="Batang" w:hAnsi="Arial" w:cs="Arial"/>
                <w:bCs/>
                <w:sz w:val="16"/>
                <w:szCs w:val="16"/>
              </w:rPr>
              <w:t>ation-weighted cost of all LABA/LAMAs for UMEC/VI</w:t>
            </w:r>
          </w:p>
        </w:tc>
        <w:tc>
          <w:tcPr>
            <w:tcW w:w="567" w:type="pct"/>
            <w:noWrap/>
          </w:tcPr>
          <w:p w14:paraId="47ED8453" w14:textId="77777777" w:rsidR="009F3E29" w:rsidRPr="00966864" w:rsidRDefault="009F3E29" w:rsidP="009F3E29">
            <w:pPr>
              <w:autoSpaceDE w:val="0"/>
              <w:autoSpaceDN w:val="0"/>
              <w:adjustRightInd w:val="0"/>
              <w:spacing w:before="40" w:after="40" w:line="240" w:lineRule="auto"/>
              <w:rPr>
                <w:rFonts w:ascii="Arial" w:eastAsia="Batang" w:hAnsi="Arial" w:cs="Arial"/>
                <w:bCs/>
                <w:sz w:val="16"/>
                <w:szCs w:val="16"/>
              </w:rPr>
            </w:pPr>
            <w:r w:rsidRPr="00966864">
              <w:rPr>
                <w:rFonts w:ascii="Arial" w:eastAsia="Batang" w:hAnsi="Arial" w:cs="Arial"/>
                <w:bCs/>
                <w:sz w:val="16"/>
                <w:szCs w:val="16"/>
              </w:rPr>
              <w:t>2.4717</w:t>
            </w:r>
          </w:p>
        </w:tc>
        <w:tc>
          <w:tcPr>
            <w:tcW w:w="365" w:type="pct"/>
            <w:noWrap/>
          </w:tcPr>
          <w:p w14:paraId="7DFA2FC0"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0.1183</w:t>
            </w:r>
          </w:p>
        </w:tc>
        <w:tc>
          <w:tcPr>
            <w:tcW w:w="365" w:type="pct"/>
            <w:noWrap/>
          </w:tcPr>
          <w:p w14:paraId="0206E38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(0.05, 0.19)</w:t>
            </w:r>
          </w:p>
        </w:tc>
        <w:tc>
          <w:tcPr>
            <w:tcW w:w="365" w:type="pct"/>
            <w:noWrap/>
          </w:tcPr>
          <w:p w14:paraId="5D53281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0.1283</w:t>
            </w:r>
          </w:p>
        </w:tc>
        <w:tc>
          <w:tcPr>
            <w:tcW w:w="365" w:type="pct"/>
            <w:noWrap/>
          </w:tcPr>
          <w:p w14:paraId="5A355B09"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(0.08, 0.18)</w:t>
            </w:r>
          </w:p>
        </w:tc>
        <w:tc>
          <w:tcPr>
            <w:tcW w:w="365" w:type="pct"/>
            <w:noWrap/>
          </w:tcPr>
          <w:p w14:paraId="4BF25BF5"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C$1987</w:t>
            </w:r>
          </w:p>
        </w:tc>
        <w:tc>
          <w:tcPr>
            <w:tcW w:w="365" w:type="pct"/>
            <w:noWrap/>
          </w:tcPr>
          <w:p w14:paraId="2BBEB13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(C$1384, C$2566)</w:t>
            </w:r>
          </w:p>
        </w:tc>
        <w:tc>
          <w:tcPr>
            <w:tcW w:w="365" w:type="pct"/>
            <w:noWrap/>
          </w:tcPr>
          <w:p w14:paraId="4DA1D523"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C$15,479</w:t>
            </w:r>
          </w:p>
        </w:tc>
        <w:tc>
          <w:tcPr>
            <w:tcW w:w="365" w:type="pct"/>
            <w:noWrap/>
          </w:tcPr>
          <w:p w14:paraId="547A7C1A"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(C$11,474, C$21,929)</w:t>
            </w:r>
          </w:p>
        </w:tc>
        <w:tc>
          <w:tcPr>
            <w:tcW w:w="445" w:type="pct"/>
            <w:noWrap/>
          </w:tcPr>
          <w:p w14:paraId="79F7C9DC" w14:textId="77777777" w:rsidR="009F3E29" w:rsidRPr="00966864" w:rsidRDefault="009F3E29" w:rsidP="009F3E29">
            <w:pPr>
              <w:autoSpaceDE w:val="0"/>
              <w:autoSpaceDN w:val="0"/>
              <w:adjustRightInd w:val="0"/>
              <w:spacing w:before="40" w:after="40" w:line="240" w:lineRule="auto"/>
              <w:jc w:val="center"/>
              <w:rPr>
                <w:rFonts w:ascii="Arial" w:eastAsia="Batang" w:hAnsi="Arial" w:cs="Arial"/>
                <w:bCs/>
                <w:sz w:val="16"/>
                <w:szCs w:val="16"/>
              </w:rPr>
            </w:pPr>
            <w:r w:rsidRPr="00966864">
              <w:rPr>
                <w:rFonts w:ascii="Arial" w:eastAsia="Batang" w:hAnsi="Arial" w:cs="Arial"/>
                <w:bCs/>
                <w:sz w:val="16"/>
                <w:szCs w:val="16"/>
              </w:rPr>
              <w:t>12</w:t>
            </w:r>
          </w:p>
        </w:tc>
      </w:tr>
    </w:tbl>
    <w:p w14:paraId="73B53257" w14:textId="0E94FD9E" w:rsidR="009F3E29" w:rsidRPr="00966864" w:rsidRDefault="00F211A9" w:rsidP="009F3E29">
      <w:pPr>
        <w:autoSpaceDE w:val="0"/>
        <w:autoSpaceDN w:val="0"/>
        <w:adjustRightInd w:val="0"/>
        <w:spacing w:before="120" w:after="0" w:line="276" w:lineRule="auto"/>
        <w:rPr>
          <w:rFonts w:ascii="Arial" w:eastAsia="Batang" w:hAnsi="Arial" w:cs="Arial"/>
          <w:bCs/>
          <w:sz w:val="20"/>
          <w:szCs w:val="24"/>
        </w:rPr>
      </w:pPr>
      <w:r>
        <w:rPr>
          <w:rFonts w:cs="Arial"/>
          <w:b/>
          <w:szCs w:val="20"/>
        </w:rPr>
        <w:t>Abbreviations:</w:t>
      </w:r>
      <w:r>
        <w:rPr>
          <w:rFonts w:cs="Arial"/>
          <w:szCs w:val="20"/>
        </w:rPr>
        <w:t xml:space="preserve"> </w:t>
      </w:r>
      <w:r w:rsidR="00B87CB1">
        <w:rPr>
          <w:rFonts w:ascii="Arial" w:eastAsia="Batang" w:hAnsi="Arial" w:cs="Arial"/>
          <w:bCs/>
          <w:sz w:val="20"/>
          <w:szCs w:val="24"/>
        </w:rPr>
        <w:t>6MWT, 6-min walk test; CI, confidence interval; C$, Canadian dollars; DPI, dry-powder inhaler; FF, fluticasone furoate; FP,</w:t>
      </w:r>
      <w:r w:rsidR="009F3E29" w:rsidRPr="00966864">
        <w:rPr>
          <w:rFonts w:ascii="Arial" w:eastAsia="Batang" w:hAnsi="Arial" w:cs="Arial"/>
          <w:bCs/>
          <w:sz w:val="20"/>
          <w:szCs w:val="24"/>
        </w:rPr>
        <w:t xml:space="preserve"> fluticasone </w:t>
      </w:r>
      <w:r w:rsidR="00B87CB1">
        <w:rPr>
          <w:rFonts w:ascii="Arial" w:eastAsia="Batang" w:hAnsi="Arial" w:cs="Arial"/>
          <w:bCs/>
          <w:sz w:val="20"/>
          <w:szCs w:val="24"/>
        </w:rPr>
        <w:t>propionate; ICER,</w:t>
      </w:r>
      <w:r w:rsidR="009F3E29" w:rsidRPr="00966864">
        <w:rPr>
          <w:rFonts w:ascii="Arial" w:eastAsia="Batang" w:hAnsi="Arial" w:cs="Arial"/>
          <w:bCs/>
          <w:sz w:val="20"/>
          <w:szCs w:val="24"/>
        </w:rPr>
        <w:t xml:space="preserve"> increme</w:t>
      </w:r>
      <w:r w:rsidR="00B87CB1">
        <w:rPr>
          <w:rFonts w:ascii="Arial" w:eastAsia="Batang" w:hAnsi="Arial" w:cs="Arial"/>
          <w:bCs/>
          <w:sz w:val="20"/>
          <w:szCs w:val="24"/>
        </w:rPr>
        <w:t>ntal cost-effective ratio; LABA,</w:t>
      </w:r>
      <w:r w:rsidR="009F3E29" w:rsidRPr="00966864">
        <w:rPr>
          <w:rFonts w:ascii="Arial" w:eastAsia="Batang" w:hAnsi="Arial" w:cs="Arial"/>
          <w:bCs/>
          <w:sz w:val="20"/>
          <w:szCs w:val="24"/>
        </w:rPr>
        <w:t xml:space="preserve"> long-acting β</w:t>
      </w:r>
      <w:r w:rsidR="009F3E29" w:rsidRPr="00966864">
        <w:rPr>
          <w:rFonts w:ascii="Arial" w:eastAsia="Batang" w:hAnsi="Arial" w:cs="Arial"/>
          <w:bCs/>
          <w:sz w:val="20"/>
          <w:szCs w:val="24"/>
          <w:vertAlign w:val="subscript"/>
        </w:rPr>
        <w:t>2</w:t>
      </w:r>
      <w:r w:rsidR="00B87CB1">
        <w:rPr>
          <w:rFonts w:ascii="Arial" w:eastAsia="Batang" w:hAnsi="Arial" w:cs="Arial"/>
          <w:bCs/>
          <w:sz w:val="20"/>
          <w:szCs w:val="24"/>
        </w:rPr>
        <w:t xml:space="preserve">-agonist; LAMA, </w:t>
      </w:r>
      <w:r w:rsidR="009F3E29" w:rsidRPr="00966864">
        <w:rPr>
          <w:rFonts w:ascii="Arial" w:eastAsia="Batang" w:hAnsi="Arial" w:cs="Arial"/>
          <w:bCs/>
          <w:sz w:val="20"/>
          <w:szCs w:val="24"/>
        </w:rPr>
        <w:t>long-a</w:t>
      </w:r>
      <w:r w:rsidR="00B87CB1">
        <w:rPr>
          <w:rFonts w:ascii="Arial" w:eastAsia="Batang" w:hAnsi="Arial" w:cs="Arial"/>
          <w:bCs/>
          <w:sz w:val="20"/>
          <w:szCs w:val="24"/>
        </w:rPr>
        <w:t xml:space="preserve">cting muscarinic antagonist; LY, life year; </w:t>
      </w:r>
      <w:proofErr w:type="spellStart"/>
      <w:r w:rsidR="00B87CB1">
        <w:rPr>
          <w:rFonts w:ascii="Arial" w:eastAsia="Batang" w:hAnsi="Arial" w:cs="Arial"/>
          <w:bCs/>
          <w:sz w:val="20"/>
          <w:szCs w:val="24"/>
        </w:rPr>
        <w:t>MExac</w:t>
      </w:r>
      <w:proofErr w:type="spellEnd"/>
      <w:r w:rsidR="00B87CB1">
        <w:rPr>
          <w:rFonts w:ascii="Arial" w:eastAsia="Batang" w:hAnsi="Arial" w:cs="Arial"/>
          <w:bCs/>
          <w:sz w:val="20"/>
          <w:szCs w:val="24"/>
        </w:rPr>
        <w:t xml:space="preserve">, moderate exacerbation; </w:t>
      </w:r>
      <w:proofErr w:type="spellStart"/>
      <w:r w:rsidR="00B87CB1">
        <w:rPr>
          <w:rFonts w:ascii="Arial" w:eastAsia="Batang" w:hAnsi="Arial" w:cs="Arial"/>
          <w:bCs/>
          <w:sz w:val="20"/>
          <w:szCs w:val="24"/>
        </w:rPr>
        <w:t>mMRC</w:t>
      </w:r>
      <w:proofErr w:type="spellEnd"/>
      <w:r w:rsidR="00B87CB1">
        <w:rPr>
          <w:rFonts w:ascii="Arial" w:eastAsia="Batang" w:hAnsi="Arial" w:cs="Arial"/>
          <w:bCs/>
          <w:sz w:val="20"/>
          <w:szCs w:val="24"/>
        </w:rPr>
        <w:t>,</w:t>
      </w:r>
      <w:r w:rsidR="009F3E29" w:rsidRPr="00966864">
        <w:rPr>
          <w:rFonts w:ascii="Arial" w:eastAsia="Batang" w:hAnsi="Arial" w:cs="Arial"/>
          <w:bCs/>
          <w:sz w:val="20"/>
          <w:szCs w:val="24"/>
        </w:rPr>
        <w:t xml:space="preserve"> modifi</w:t>
      </w:r>
      <w:r w:rsidR="00B87CB1">
        <w:rPr>
          <w:rFonts w:ascii="Arial" w:eastAsia="Batang" w:hAnsi="Arial" w:cs="Arial"/>
          <w:bCs/>
          <w:sz w:val="20"/>
          <w:szCs w:val="24"/>
        </w:rPr>
        <w:t>ed Medical Research Council; NA, not applicable; PA,</w:t>
      </w:r>
      <w:r w:rsidR="009F3E29" w:rsidRPr="00966864">
        <w:rPr>
          <w:rFonts w:ascii="Arial" w:eastAsia="Batang" w:hAnsi="Arial" w:cs="Arial"/>
          <w:bCs/>
          <w:sz w:val="20"/>
          <w:szCs w:val="24"/>
        </w:rPr>
        <w:t xml:space="preserve"> probability analyses; </w:t>
      </w:r>
      <w:r w:rsidR="00B87CB1">
        <w:rPr>
          <w:rFonts w:ascii="Arial" w:eastAsia="Batang" w:hAnsi="Arial" w:cs="Arial"/>
          <w:bCs/>
          <w:sz w:val="20"/>
          <w:szCs w:val="24"/>
        </w:rPr>
        <w:t xml:space="preserve">QALY, quality-adjusted life year; SA, sensitivity analysis; SAL, salmeterol; </w:t>
      </w:r>
      <w:proofErr w:type="spellStart"/>
      <w:r w:rsidR="00B87CB1">
        <w:rPr>
          <w:rFonts w:ascii="Arial" w:eastAsia="Batang" w:hAnsi="Arial" w:cs="Arial"/>
          <w:bCs/>
          <w:sz w:val="20"/>
          <w:szCs w:val="24"/>
        </w:rPr>
        <w:t>SExac</w:t>
      </w:r>
      <w:proofErr w:type="spellEnd"/>
      <w:r w:rsidR="00B87CB1">
        <w:rPr>
          <w:rFonts w:ascii="Arial" w:eastAsia="Batang" w:hAnsi="Arial" w:cs="Arial"/>
          <w:bCs/>
          <w:sz w:val="20"/>
          <w:szCs w:val="24"/>
        </w:rPr>
        <w:t>, severe exacerbation; SITT,</w:t>
      </w:r>
      <w:r w:rsidR="009F3E29" w:rsidRPr="00966864">
        <w:rPr>
          <w:rFonts w:ascii="Arial" w:eastAsia="Batang" w:hAnsi="Arial" w:cs="Arial"/>
          <w:bCs/>
          <w:sz w:val="20"/>
          <w:szCs w:val="24"/>
        </w:rPr>
        <w:t xml:space="preserve"> singl</w:t>
      </w:r>
      <w:r w:rsidR="00B87CB1">
        <w:rPr>
          <w:rFonts w:ascii="Arial" w:eastAsia="Batang" w:hAnsi="Arial" w:cs="Arial"/>
          <w:bCs/>
          <w:sz w:val="20"/>
          <w:szCs w:val="24"/>
        </w:rPr>
        <w:t>e-inhaler triple therapy; UMEC, umeclidinium; VI,</w:t>
      </w:r>
      <w:r w:rsidR="009F3E29" w:rsidRPr="00966864">
        <w:rPr>
          <w:rFonts w:ascii="Arial" w:eastAsia="Batang" w:hAnsi="Arial" w:cs="Arial"/>
          <w:bCs/>
          <w:sz w:val="20"/>
          <w:szCs w:val="24"/>
        </w:rPr>
        <w:t xml:space="preserve"> vilanterol.</w:t>
      </w:r>
    </w:p>
    <w:p w14:paraId="0959280C" w14:textId="77777777" w:rsidR="00D9350C" w:rsidRPr="00966864" w:rsidRDefault="00D9350C">
      <w:pPr>
        <w:rPr>
          <w:rFonts w:ascii="Arial" w:hAnsi="Arial" w:cs="Arial"/>
        </w:rPr>
      </w:pPr>
    </w:p>
    <w:sectPr w:rsidR="00D9350C" w:rsidRPr="00966864" w:rsidSect="00EC39D6">
      <w:pgSz w:w="16838" w:h="11906" w:orient="landscape"/>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AFECC" w14:textId="77777777" w:rsidR="001F4563" w:rsidRDefault="001F4563" w:rsidP="00E73539">
      <w:pPr>
        <w:spacing w:after="0" w:line="240" w:lineRule="auto"/>
      </w:pPr>
      <w:r>
        <w:separator/>
      </w:r>
    </w:p>
  </w:endnote>
  <w:endnote w:type="continuationSeparator" w:id="0">
    <w:p w14:paraId="0ADACF5D" w14:textId="77777777" w:rsidR="001F4563" w:rsidRDefault="001F4563" w:rsidP="00E7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1E407" w14:textId="77777777" w:rsidR="001F4563" w:rsidRDefault="001F4563" w:rsidP="00E73539">
      <w:pPr>
        <w:spacing w:after="0" w:line="240" w:lineRule="auto"/>
      </w:pPr>
      <w:r>
        <w:separator/>
      </w:r>
    </w:p>
  </w:footnote>
  <w:footnote w:type="continuationSeparator" w:id="0">
    <w:p w14:paraId="36B0F0F6" w14:textId="77777777" w:rsidR="001F4563" w:rsidRDefault="001F4563" w:rsidP="00E73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326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FC11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E8D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0C51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4C42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949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684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C82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C09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169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5D1932"/>
    <w:multiLevelType w:val="hybridMultilevel"/>
    <w:tmpl w:val="4404C4AC"/>
    <w:lvl w:ilvl="0" w:tplc="9362A0A8">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B78DB"/>
    <w:multiLevelType w:val="hybridMultilevel"/>
    <w:tmpl w:val="BA04A698"/>
    <w:lvl w:ilvl="0" w:tplc="8A4ACB16">
      <w:start w:val="1"/>
      <w:numFmt w:val="decimal"/>
      <w:pStyle w:val="Refslistnumbered"/>
      <w:lvlText w:val="%1."/>
      <w:lvlJc w:val="left"/>
      <w:pPr>
        <w:ind w:left="720" w:hanging="360"/>
      </w:pPr>
      <w:rPr>
        <w:rFonts w:ascii="Calibri" w:hAnsi="Calibri"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E29"/>
    <w:rsid w:val="001F4563"/>
    <w:rsid w:val="002208EA"/>
    <w:rsid w:val="0022383B"/>
    <w:rsid w:val="002346F6"/>
    <w:rsid w:val="002813AC"/>
    <w:rsid w:val="00376D66"/>
    <w:rsid w:val="003872CA"/>
    <w:rsid w:val="004C7F6B"/>
    <w:rsid w:val="00537CEE"/>
    <w:rsid w:val="00855EA3"/>
    <w:rsid w:val="008A7BD8"/>
    <w:rsid w:val="00966864"/>
    <w:rsid w:val="009F3E29"/>
    <w:rsid w:val="009F773C"/>
    <w:rsid w:val="00A91D25"/>
    <w:rsid w:val="00B87CB1"/>
    <w:rsid w:val="00BA1EDE"/>
    <w:rsid w:val="00BE27FE"/>
    <w:rsid w:val="00CC3543"/>
    <w:rsid w:val="00D9350C"/>
    <w:rsid w:val="00E479F5"/>
    <w:rsid w:val="00E73539"/>
    <w:rsid w:val="00F10EE0"/>
    <w:rsid w:val="00F211A9"/>
    <w:rsid w:val="00F25D90"/>
    <w:rsid w:val="00FC22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0B533"/>
  <w15:docId w15:val="{A6FA3BB5-0ACB-474E-894F-1CF5225E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E29"/>
    <w:pPr>
      <w:keepNext/>
      <w:keepLines/>
      <w:spacing w:before="240" w:after="0"/>
      <w:outlineLvl w:val="0"/>
    </w:pPr>
    <w:rPr>
      <w:rFonts w:eastAsia="Batang" w:cs="Arial"/>
      <w:b/>
      <w:bCs/>
      <w:color w:val="808080"/>
      <w:sz w:val="24"/>
      <w:szCs w:val="24"/>
    </w:rPr>
  </w:style>
  <w:style w:type="paragraph" w:styleId="Heading2">
    <w:name w:val="heading 2"/>
    <w:basedOn w:val="Normal"/>
    <w:next w:val="Normal"/>
    <w:link w:val="Heading2Char1"/>
    <w:uiPriority w:val="9"/>
    <w:semiHidden/>
    <w:unhideWhenUsed/>
    <w:qFormat/>
    <w:rsid w:val="009F3E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F3E29"/>
    <w:pPr>
      <w:keepNext/>
      <w:keepLines/>
      <w:spacing w:before="40" w:after="0"/>
      <w:outlineLvl w:val="2"/>
    </w:pPr>
    <w:rPr>
      <w:rFonts w:eastAsia="Batang" w:cs="Arial"/>
      <w:bCs/>
      <w:i/>
      <w:color w:val="808080"/>
      <w:sz w:val="24"/>
      <w:szCs w:val="24"/>
    </w:rPr>
  </w:style>
  <w:style w:type="paragraph" w:styleId="Heading4">
    <w:name w:val="heading 4"/>
    <w:basedOn w:val="Normal"/>
    <w:next w:val="Normal"/>
    <w:link w:val="Heading4Char1"/>
    <w:uiPriority w:val="9"/>
    <w:semiHidden/>
    <w:unhideWhenUsed/>
    <w:qFormat/>
    <w:rsid w:val="009F3E2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uiPriority w:val="9"/>
    <w:rsid w:val="009F3E29"/>
    <w:pPr>
      <w:keepLines w:val="0"/>
      <w:shd w:val="clear" w:color="auto" w:fill="FFFFFF"/>
      <w:tabs>
        <w:tab w:val="left" w:pos="851"/>
      </w:tabs>
      <w:autoSpaceDE w:val="0"/>
      <w:autoSpaceDN w:val="0"/>
      <w:adjustRightInd w:val="0"/>
      <w:spacing w:before="240" w:line="480" w:lineRule="auto"/>
      <w:outlineLvl w:val="4"/>
    </w:pPr>
    <w:rPr>
      <w:rFonts w:ascii="Calibri" w:eastAsia="Batang" w:hAnsi="Calibri" w:cs="Arial"/>
      <w:bCs/>
      <w:i w:val="0"/>
      <w:iCs w:val="0"/>
      <w:color w:val="006068"/>
      <w:sz w:val="24"/>
      <w:szCs w:val="24"/>
      <w:u w:val="single"/>
      <w14:textFill>
        <w14:solidFill>
          <w14:srgbClr w14:val="006068">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F3E29"/>
    <w:pPr>
      <w:autoSpaceDE w:val="0"/>
      <w:autoSpaceDN w:val="0"/>
      <w:adjustRightInd w:val="0"/>
      <w:spacing w:before="360" w:after="0" w:line="480" w:lineRule="auto"/>
      <w:outlineLvl w:val="0"/>
    </w:pPr>
    <w:rPr>
      <w:rFonts w:eastAsia="Batang" w:cs="Arial"/>
      <w:b/>
      <w:bCs/>
      <w:color w:val="808080"/>
      <w:sz w:val="24"/>
      <w:szCs w:val="24"/>
    </w:rPr>
  </w:style>
  <w:style w:type="paragraph" w:customStyle="1" w:styleId="Heading21">
    <w:name w:val="Heading 21"/>
    <w:basedOn w:val="Normal"/>
    <w:next w:val="Normal"/>
    <w:link w:val="Heading2Char"/>
    <w:uiPriority w:val="9"/>
    <w:unhideWhenUsed/>
    <w:qFormat/>
    <w:rsid w:val="009F3E29"/>
    <w:pPr>
      <w:autoSpaceDE w:val="0"/>
      <w:autoSpaceDN w:val="0"/>
      <w:adjustRightInd w:val="0"/>
      <w:spacing w:before="360" w:after="0" w:line="480" w:lineRule="auto"/>
      <w:contextualSpacing/>
      <w:outlineLvl w:val="1"/>
    </w:pPr>
    <w:rPr>
      <w:rFonts w:eastAsia="Batang" w:cs="Arial"/>
      <w:b/>
      <w:bCs/>
      <w:i/>
      <w:color w:val="808080"/>
      <w:sz w:val="24"/>
      <w:szCs w:val="24"/>
    </w:rPr>
  </w:style>
  <w:style w:type="paragraph" w:customStyle="1" w:styleId="Heading31">
    <w:name w:val="Heading 31"/>
    <w:basedOn w:val="Normal"/>
    <w:next w:val="Normal"/>
    <w:uiPriority w:val="9"/>
    <w:unhideWhenUsed/>
    <w:qFormat/>
    <w:rsid w:val="009F3E29"/>
    <w:pPr>
      <w:autoSpaceDE w:val="0"/>
      <w:autoSpaceDN w:val="0"/>
      <w:adjustRightInd w:val="0"/>
      <w:spacing w:before="240" w:after="0" w:line="480" w:lineRule="auto"/>
      <w:outlineLvl w:val="2"/>
    </w:pPr>
    <w:rPr>
      <w:rFonts w:eastAsia="Batang" w:cs="Arial"/>
      <w:bCs/>
      <w:i/>
      <w:color w:val="808080"/>
      <w:sz w:val="24"/>
      <w:szCs w:val="24"/>
    </w:rPr>
  </w:style>
  <w:style w:type="paragraph" w:customStyle="1" w:styleId="Heading41">
    <w:name w:val="Heading 41"/>
    <w:basedOn w:val="Normal"/>
    <w:next w:val="Normal"/>
    <w:link w:val="Heading4Char"/>
    <w:uiPriority w:val="9"/>
    <w:qFormat/>
    <w:rsid w:val="009F3E29"/>
    <w:pPr>
      <w:autoSpaceDE w:val="0"/>
      <w:autoSpaceDN w:val="0"/>
      <w:adjustRightInd w:val="0"/>
      <w:spacing w:before="240" w:after="0" w:line="480" w:lineRule="auto"/>
      <w:outlineLvl w:val="3"/>
    </w:pPr>
    <w:rPr>
      <w:rFonts w:eastAsia="Batang" w:cs="Arial"/>
      <w:bCs/>
      <w:color w:val="808080"/>
      <w:sz w:val="24"/>
      <w:szCs w:val="24"/>
      <w:u w:val="single"/>
    </w:rPr>
  </w:style>
  <w:style w:type="character" w:customStyle="1" w:styleId="Heading5Char">
    <w:name w:val="Heading 5 Char"/>
    <w:basedOn w:val="DefaultParagraphFont"/>
    <w:link w:val="Heading5"/>
    <w:uiPriority w:val="9"/>
    <w:rsid w:val="009F3E29"/>
    <w:rPr>
      <w:rFonts w:ascii="Calibri" w:eastAsia="Batang" w:hAnsi="Calibri" w:cs="Arial"/>
      <w:bCs/>
      <w:color w:val="006068"/>
      <w:sz w:val="24"/>
      <w:szCs w:val="24"/>
      <w:u w:val="single"/>
      <w:shd w:val="clear" w:color="auto" w:fill="FFFFFF"/>
      <w14:textFill>
        <w14:solidFill>
          <w14:srgbClr w14:val="006068">
            <w14:lumMod w14:val="50000"/>
          </w14:srgbClr>
        </w14:solidFill>
      </w14:textFill>
    </w:rPr>
  </w:style>
  <w:style w:type="numbering" w:customStyle="1" w:styleId="NoList1">
    <w:name w:val="No List1"/>
    <w:next w:val="NoList"/>
    <w:uiPriority w:val="99"/>
    <w:semiHidden/>
    <w:unhideWhenUsed/>
    <w:rsid w:val="009F3E29"/>
  </w:style>
  <w:style w:type="paragraph" w:customStyle="1" w:styleId="TablecontentL">
    <w:name w:val="Table content L"/>
    <w:basedOn w:val="Normal"/>
    <w:link w:val="TablecontentLChar"/>
    <w:rsid w:val="009F3E29"/>
    <w:pPr>
      <w:spacing w:before="40" w:after="40" w:line="480" w:lineRule="auto"/>
      <w:ind w:left="35"/>
    </w:pPr>
    <w:rPr>
      <w:rFonts w:eastAsia="Times New Roman" w:cs="Calibri"/>
      <w:spacing w:val="-6"/>
      <w:sz w:val="20"/>
      <w:szCs w:val="20"/>
      <w:lang w:eastAsia="de-DE"/>
    </w:rPr>
  </w:style>
  <w:style w:type="character" w:customStyle="1" w:styleId="TablecontentLChar">
    <w:name w:val="Table content L Char"/>
    <w:basedOn w:val="DefaultParagraphFont"/>
    <w:link w:val="TablecontentL"/>
    <w:rsid w:val="009F3E29"/>
    <w:rPr>
      <w:rFonts w:eastAsia="Times New Roman" w:cs="Calibri"/>
      <w:spacing w:val="-6"/>
      <w:sz w:val="20"/>
      <w:szCs w:val="20"/>
      <w:lang w:eastAsia="de-DE"/>
    </w:rPr>
  </w:style>
  <w:style w:type="paragraph" w:customStyle="1" w:styleId="TablecolumnheaderL">
    <w:name w:val="Table column header L"/>
    <w:basedOn w:val="Normal"/>
    <w:link w:val="TablecolumnheaderLChar"/>
    <w:rsid w:val="009F3E29"/>
    <w:pPr>
      <w:spacing w:before="40" w:after="40" w:line="480" w:lineRule="auto"/>
    </w:pPr>
    <w:rPr>
      <w:rFonts w:eastAsia="Times New Roman" w:cs="Arial"/>
      <w:b/>
      <w:color w:val="FFFFFF"/>
      <w:szCs w:val="18"/>
      <w:lang w:eastAsia="de-DE"/>
    </w:rPr>
  </w:style>
  <w:style w:type="character" w:customStyle="1" w:styleId="TablecolumnheaderLChar">
    <w:name w:val="Table column header L Char"/>
    <w:basedOn w:val="DefaultParagraphFont"/>
    <w:link w:val="TablecolumnheaderL"/>
    <w:rsid w:val="009F3E29"/>
    <w:rPr>
      <w:rFonts w:eastAsia="Times New Roman" w:cs="Arial"/>
      <w:b/>
      <w:color w:val="FFFFFF"/>
      <w:szCs w:val="18"/>
      <w:lang w:eastAsia="de-DE"/>
    </w:rPr>
  </w:style>
  <w:style w:type="paragraph" w:styleId="TableofFigures">
    <w:name w:val="table of figures"/>
    <w:basedOn w:val="Normal"/>
    <w:next w:val="Normal"/>
    <w:uiPriority w:val="99"/>
    <w:rsid w:val="009F3E29"/>
    <w:pPr>
      <w:tabs>
        <w:tab w:val="right" w:leader="dot" w:pos="9016"/>
      </w:tabs>
      <w:autoSpaceDE w:val="0"/>
      <w:autoSpaceDN w:val="0"/>
      <w:adjustRightInd w:val="0"/>
      <w:spacing w:after="80" w:line="480" w:lineRule="auto"/>
    </w:pPr>
    <w:rPr>
      <w:rFonts w:eastAsia="Batang" w:cs="Arial"/>
      <w:bCs/>
      <w:noProof/>
      <w:szCs w:val="20"/>
    </w:rPr>
  </w:style>
  <w:style w:type="paragraph" w:customStyle="1" w:styleId="TOC11">
    <w:name w:val="TOC 11"/>
    <w:basedOn w:val="Normal"/>
    <w:next w:val="Normal"/>
    <w:autoRedefine/>
    <w:uiPriority w:val="39"/>
    <w:unhideWhenUsed/>
    <w:rsid w:val="009F3E29"/>
    <w:pPr>
      <w:spacing w:after="120" w:line="480" w:lineRule="auto"/>
    </w:pPr>
    <w:rPr>
      <w:rFonts w:eastAsia="PMingLiU" w:cs="Calibri"/>
      <w:sz w:val="24"/>
      <w:lang w:eastAsia="zh-TW"/>
    </w:rPr>
  </w:style>
  <w:style w:type="character" w:customStyle="1" w:styleId="Subheadingbold1">
    <w:name w:val="Subheading bold1"/>
    <w:uiPriority w:val="22"/>
    <w:rsid w:val="009F3E29"/>
    <w:rPr>
      <w:rFonts w:ascii="Calibri" w:hAnsi="Calibri"/>
      <w:b/>
      <w:bCs/>
    </w:rPr>
  </w:style>
  <w:style w:type="character" w:customStyle="1" w:styleId="Heading4Char">
    <w:name w:val="Heading 4 Char"/>
    <w:basedOn w:val="DefaultParagraphFont"/>
    <w:link w:val="Heading41"/>
    <w:uiPriority w:val="9"/>
    <w:rsid w:val="009F3E29"/>
    <w:rPr>
      <w:rFonts w:eastAsia="Batang" w:cs="Arial"/>
      <w:bCs/>
      <w:color w:val="808080"/>
      <w:sz w:val="24"/>
      <w:szCs w:val="24"/>
      <w:u w:val="single"/>
    </w:rPr>
  </w:style>
  <w:style w:type="paragraph" w:customStyle="1" w:styleId="Style1">
    <w:name w:val="Style1"/>
    <w:basedOn w:val="Heading2"/>
    <w:autoRedefine/>
    <w:rsid w:val="009F3E29"/>
    <w:pPr>
      <w:keepNext w:val="0"/>
      <w:keepLines w:val="0"/>
      <w:spacing w:before="600" w:after="120" w:line="480" w:lineRule="auto"/>
      <w:ind w:left="-360"/>
      <w:contextualSpacing/>
    </w:pPr>
    <w:rPr>
      <w:rFonts w:ascii="Century" w:eastAsia="Times New Roman" w:hAnsi="Century" w:cs="Times New Roman"/>
      <w:color w:val="0000FF"/>
      <w:sz w:val="40"/>
      <w:szCs w:val="20"/>
      <w14:textFill>
        <w14:solidFill>
          <w14:srgbClr w14:val="0000FF">
            <w14:lumMod w14:val="50000"/>
          </w14:srgbClr>
        </w14:solidFill>
      </w14:textFill>
    </w:rPr>
  </w:style>
  <w:style w:type="character" w:customStyle="1" w:styleId="Heading2Char">
    <w:name w:val="Heading 2 Char"/>
    <w:basedOn w:val="DefaultParagraphFont"/>
    <w:link w:val="Heading21"/>
    <w:uiPriority w:val="9"/>
    <w:rsid w:val="009F3E29"/>
    <w:rPr>
      <w:rFonts w:eastAsia="Batang" w:cs="Arial"/>
      <w:b/>
      <w:bCs/>
      <w:i/>
      <w:color w:val="808080"/>
      <w:sz w:val="24"/>
      <w:szCs w:val="24"/>
    </w:rPr>
  </w:style>
  <w:style w:type="character" w:customStyle="1" w:styleId="Heading1Char">
    <w:name w:val="Heading 1 Char"/>
    <w:basedOn w:val="DefaultParagraphFont"/>
    <w:link w:val="Heading1"/>
    <w:uiPriority w:val="9"/>
    <w:rsid w:val="009F3E29"/>
    <w:rPr>
      <w:rFonts w:eastAsia="Batang" w:cs="Arial"/>
      <w:b/>
      <w:bCs/>
      <w:color w:val="808080"/>
      <w:sz w:val="24"/>
      <w:szCs w:val="24"/>
    </w:rPr>
  </w:style>
  <w:style w:type="character" w:customStyle="1" w:styleId="Heading3Char">
    <w:name w:val="Heading 3 Char"/>
    <w:basedOn w:val="DefaultParagraphFont"/>
    <w:link w:val="Heading3"/>
    <w:uiPriority w:val="9"/>
    <w:rsid w:val="009F3E29"/>
    <w:rPr>
      <w:rFonts w:eastAsia="Batang" w:cs="Arial"/>
      <w:bCs/>
      <w:i/>
      <w:color w:val="808080"/>
      <w:sz w:val="24"/>
      <w:szCs w:val="24"/>
    </w:rPr>
  </w:style>
  <w:style w:type="paragraph" w:styleId="Header">
    <w:name w:val="header"/>
    <w:basedOn w:val="Normal"/>
    <w:link w:val="HeaderChar"/>
    <w:uiPriority w:val="99"/>
    <w:unhideWhenUsed/>
    <w:rsid w:val="009F3E29"/>
    <w:pPr>
      <w:tabs>
        <w:tab w:val="center" w:pos="4513"/>
        <w:tab w:val="right" w:pos="9026"/>
      </w:tabs>
      <w:autoSpaceDE w:val="0"/>
      <w:autoSpaceDN w:val="0"/>
      <w:adjustRightInd w:val="0"/>
      <w:spacing w:after="0" w:line="480" w:lineRule="auto"/>
    </w:pPr>
    <w:rPr>
      <w:rFonts w:eastAsia="Batang" w:cs="Arial"/>
      <w:bCs/>
      <w:szCs w:val="24"/>
    </w:rPr>
  </w:style>
  <w:style w:type="character" w:customStyle="1" w:styleId="HeaderChar">
    <w:name w:val="Header Char"/>
    <w:basedOn w:val="DefaultParagraphFont"/>
    <w:link w:val="Header"/>
    <w:uiPriority w:val="99"/>
    <w:rsid w:val="009F3E29"/>
    <w:rPr>
      <w:rFonts w:eastAsia="Batang" w:cs="Arial"/>
      <w:bCs/>
      <w:szCs w:val="24"/>
    </w:rPr>
  </w:style>
  <w:style w:type="paragraph" w:styleId="Footer">
    <w:name w:val="footer"/>
    <w:basedOn w:val="Normal"/>
    <w:link w:val="FooterChar"/>
    <w:uiPriority w:val="99"/>
    <w:unhideWhenUsed/>
    <w:rsid w:val="009F3E29"/>
    <w:pPr>
      <w:tabs>
        <w:tab w:val="center" w:pos="4513"/>
        <w:tab w:val="right" w:pos="9026"/>
      </w:tabs>
      <w:autoSpaceDE w:val="0"/>
      <w:autoSpaceDN w:val="0"/>
      <w:adjustRightInd w:val="0"/>
      <w:spacing w:after="0" w:line="480" w:lineRule="auto"/>
    </w:pPr>
    <w:rPr>
      <w:rFonts w:eastAsia="Batang" w:cs="Arial"/>
      <w:bCs/>
      <w:szCs w:val="24"/>
    </w:rPr>
  </w:style>
  <w:style w:type="character" w:customStyle="1" w:styleId="FooterChar">
    <w:name w:val="Footer Char"/>
    <w:basedOn w:val="DefaultParagraphFont"/>
    <w:link w:val="Footer"/>
    <w:uiPriority w:val="99"/>
    <w:rsid w:val="009F3E29"/>
    <w:rPr>
      <w:rFonts w:eastAsia="Batang" w:cs="Arial"/>
      <w:bCs/>
      <w:szCs w:val="24"/>
    </w:rPr>
  </w:style>
  <w:style w:type="paragraph" w:styleId="Title">
    <w:name w:val="Title"/>
    <w:basedOn w:val="Normal"/>
    <w:next w:val="Normal"/>
    <w:link w:val="TitleChar"/>
    <w:uiPriority w:val="10"/>
    <w:qFormat/>
    <w:rsid w:val="009F3E29"/>
    <w:pPr>
      <w:autoSpaceDE w:val="0"/>
      <w:autoSpaceDN w:val="0"/>
      <w:adjustRightInd w:val="0"/>
      <w:spacing w:after="240" w:line="480" w:lineRule="auto"/>
    </w:pPr>
    <w:rPr>
      <w:rFonts w:eastAsia="Batang" w:cs="Arial"/>
      <w:b/>
      <w:bCs/>
      <w:sz w:val="28"/>
      <w:szCs w:val="24"/>
    </w:rPr>
  </w:style>
  <w:style w:type="character" w:customStyle="1" w:styleId="TitleChar">
    <w:name w:val="Title Char"/>
    <w:basedOn w:val="DefaultParagraphFont"/>
    <w:link w:val="Title"/>
    <w:uiPriority w:val="10"/>
    <w:rsid w:val="009F3E29"/>
    <w:rPr>
      <w:rFonts w:eastAsia="Batang" w:cs="Arial"/>
      <w:b/>
      <w:bCs/>
      <w:sz w:val="28"/>
      <w:szCs w:val="24"/>
    </w:rPr>
  </w:style>
  <w:style w:type="paragraph" w:customStyle="1" w:styleId="Authors">
    <w:name w:val="Authors"/>
    <w:basedOn w:val="Normal"/>
    <w:link w:val="AuthorsChar"/>
    <w:qFormat/>
    <w:rsid w:val="009F3E29"/>
    <w:pPr>
      <w:autoSpaceDE w:val="0"/>
      <w:autoSpaceDN w:val="0"/>
      <w:adjustRightInd w:val="0"/>
      <w:spacing w:after="240" w:line="480" w:lineRule="auto"/>
    </w:pPr>
    <w:rPr>
      <w:rFonts w:eastAsia="Batang" w:cs="Arial"/>
      <w:bCs/>
      <w:sz w:val="24"/>
      <w:szCs w:val="24"/>
    </w:rPr>
  </w:style>
  <w:style w:type="paragraph" w:customStyle="1" w:styleId="Affiliations">
    <w:name w:val="Affiliations"/>
    <w:basedOn w:val="Normal"/>
    <w:link w:val="AffiliationsChar"/>
    <w:qFormat/>
    <w:rsid w:val="009F3E29"/>
    <w:pPr>
      <w:autoSpaceDE w:val="0"/>
      <w:autoSpaceDN w:val="0"/>
      <w:adjustRightInd w:val="0"/>
      <w:spacing w:after="240" w:line="480" w:lineRule="auto"/>
    </w:pPr>
    <w:rPr>
      <w:rFonts w:eastAsia="Batang" w:cs="Arial"/>
      <w:bCs/>
      <w:szCs w:val="24"/>
    </w:rPr>
  </w:style>
  <w:style w:type="character" w:customStyle="1" w:styleId="AuthorsChar">
    <w:name w:val="Authors Char"/>
    <w:basedOn w:val="DefaultParagraphFont"/>
    <w:link w:val="Authors"/>
    <w:rsid w:val="009F3E29"/>
    <w:rPr>
      <w:rFonts w:eastAsia="Batang" w:cs="Arial"/>
      <w:bCs/>
      <w:sz w:val="24"/>
      <w:szCs w:val="24"/>
    </w:rPr>
  </w:style>
  <w:style w:type="paragraph" w:customStyle="1" w:styleId="Spacedpara">
    <w:name w:val="Spaced para"/>
    <w:basedOn w:val="Normal"/>
    <w:link w:val="SpacedparaChar"/>
    <w:qFormat/>
    <w:rsid w:val="009F3E29"/>
    <w:pPr>
      <w:autoSpaceDE w:val="0"/>
      <w:autoSpaceDN w:val="0"/>
      <w:adjustRightInd w:val="0"/>
      <w:spacing w:before="360" w:after="0" w:line="480" w:lineRule="auto"/>
    </w:pPr>
    <w:rPr>
      <w:rFonts w:eastAsia="Batang" w:cs="Arial"/>
      <w:bCs/>
      <w:szCs w:val="24"/>
    </w:rPr>
  </w:style>
  <w:style w:type="character" w:customStyle="1" w:styleId="AffiliationsChar">
    <w:name w:val="Affiliations Char"/>
    <w:basedOn w:val="DefaultParagraphFont"/>
    <w:link w:val="Affiliations"/>
    <w:rsid w:val="009F3E29"/>
    <w:rPr>
      <w:rFonts w:eastAsia="Batang" w:cs="Arial"/>
      <w:bCs/>
      <w:szCs w:val="24"/>
    </w:rPr>
  </w:style>
  <w:style w:type="paragraph" w:customStyle="1" w:styleId="Newpara">
    <w:name w:val="New para"/>
    <w:basedOn w:val="Normal"/>
    <w:link w:val="NewparaChar"/>
    <w:qFormat/>
    <w:rsid w:val="009F3E29"/>
    <w:pPr>
      <w:autoSpaceDE w:val="0"/>
      <w:autoSpaceDN w:val="0"/>
      <w:adjustRightInd w:val="0"/>
      <w:spacing w:after="0" w:line="480" w:lineRule="auto"/>
      <w:ind w:firstLine="567"/>
    </w:pPr>
    <w:rPr>
      <w:rFonts w:eastAsia="Batang" w:cs="Arial"/>
      <w:bCs/>
      <w:szCs w:val="24"/>
    </w:rPr>
  </w:style>
  <w:style w:type="character" w:customStyle="1" w:styleId="SpacedparaChar">
    <w:name w:val="Spaced para Char"/>
    <w:basedOn w:val="DefaultParagraphFont"/>
    <w:link w:val="Spacedpara"/>
    <w:rsid w:val="009F3E29"/>
    <w:rPr>
      <w:rFonts w:eastAsia="Batang" w:cs="Arial"/>
      <w:bCs/>
      <w:szCs w:val="24"/>
    </w:rPr>
  </w:style>
  <w:style w:type="character" w:customStyle="1" w:styleId="NewparaChar">
    <w:name w:val="New para Char"/>
    <w:basedOn w:val="DefaultParagraphFont"/>
    <w:link w:val="Newpara"/>
    <w:rsid w:val="009F3E29"/>
    <w:rPr>
      <w:rFonts w:eastAsia="Batang" w:cs="Arial"/>
      <w:bCs/>
      <w:szCs w:val="24"/>
    </w:rPr>
  </w:style>
  <w:style w:type="paragraph" w:customStyle="1" w:styleId="Tablefigurefootnote">
    <w:name w:val="Table/figure footnote"/>
    <w:basedOn w:val="Normal"/>
    <w:link w:val="TablefigurefootnoteChar"/>
    <w:qFormat/>
    <w:rsid w:val="009F3E29"/>
    <w:pPr>
      <w:autoSpaceDE w:val="0"/>
      <w:autoSpaceDN w:val="0"/>
      <w:adjustRightInd w:val="0"/>
      <w:spacing w:before="120" w:after="0" w:line="276" w:lineRule="auto"/>
    </w:pPr>
    <w:rPr>
      <w:rFonts w:eastAsia="Batang" w:cs="Arial"/>
      <w:bCs/>
      <w:sz w:val="20"/>
      <w:szCs w:val="24"/>
    </w:rPr>
  </w:style>
  <w:style w:type="paragraph" w:styleId="ListParagraph">
    <w:name w:val="List Paragraph"/>
    <w:aliases w:val="Refs list"/>
    <w:basedOn w:val="Normal"/>
    <w:link w:val="ListParagraphChar"/>
    <w:uiPriority w:val="34"/>
    <w:rsid w:val="009F3E29"/>
    <w:pPr>
      <w:autoSpaceDE w:val="0"/>
      <w:autoSpaceDN w:val="0"/>
      <w:adjustRightInd w:val="0"/>
      <w:spacing w:after="0" w:line="480" w:lineRule="auto"/>
      <w:ind w:left="567" w:hanging="567"/>
    </w:pPr>
    <w:rPr>
      <w:rFonts w:eastAsia="Batang" w:cs="Arial"/>
      <w:bCs/>
      <w:szCs w:val="24"/>
    </w:rPr>
  </w:style>
  <w:style w:type="character" w:customStyle="1" w:styleId="TablefigurefootnoteChar">
    <w:name w:val="Table/figure footnote Char"/>
    <w:basedOn w:val="DefaultParagraphFont"/>
    <w:link w:val="Tablefigurefootnote"/>
    <w:rsid w:val="009F3E29"/>
    <w:rPr>
      <w:rFonts w:eastAsia="Batang" w:cs="Arial"/>
      <w:bCs/>
      <w:sz w:val="20"/>
      <w:szCs w:val="24"/>
    </w:rPr>
  </w:style>
  <w:style w:type="paragraph" w:customStyle="1" w:styleId="Refslistnumbered">
    <w:name w:val="Refs list numbered"/>
    <w:basedOn w:val="ListParagraph"/>
    <w:link w:val="RefslistnumberedChar"/>
    <w:qFormat/>
    <w:rsid w:val="009F3E29"/>
    <w:pPr>
      <w:numPr>
        <w:numId w:val="1"/>
      </w:numPr>
      <w:ind w:left="567" w:hanging="567"/>
    </w:pPr>
  </w:style>
  <w:style w:type="paragraph" w:customStyle="1" w:styleId="Bulletedlist">
    <w:name w:val="Bulleted list"/>
    <w:basedOn w:val="ListParagraph"/>
    <w:link w:val="BulletedlistChar"/>
    <w:qFormat/>
    <w:rsid w:val="009F3E29"/>
    <w:pPr>
      <w:numPr>
        <w:numId w:val="2"/>
      </w:numPr>
      <w:ind w:left="993" w:hanging="426"/>
    </w:pPr>
  </w:style>
  <w:style w:type="character" w:customStyle="1" w:styleId="ListParagraphChar">
    <w:name w:val="List Paragraph Char"/>
    <w:aliases w:val="Refs list Char"/>
    <w:basedOn w:val="DefaultParagraphFont"/>
    <w:link w:val="ListParagraph"/>
    <w:uiPriority w:val="34"/>
    <w:rsid w:val="009F3E29"/>
    <w:rPr>
      <w:rFonts w:eastAsia="Batang" w:cs="Arial"/>
      <w:bCs/>
      <w:szCs w:val="24"/>
    </w:rPr>
  </w:style>
  <w:style w:type="character" w:customStyle="1" w:styleId="RefslistnumberedChar">
    <w:name w:val="Refs list numbered Char"/>
    <w:basedOn w:val="ListParagraphChar"/>
    <w:link w:val="Refslistnumbered"/>
    <w:rsid w:val="009F3E29"/>
    <w:rPr>
      <w:rFonts w:eastAsia="Batang" w:cs="Arial"/>
      <w:bCs/>
      <w:szCs w:val="24"/>
    </w:rPr>
  </w:style>
  <w:style w:type="character" w:customStyle="1" w:styleId="BulletedlistChar">
    <w:name w:val="Bulleted list Char"/>
    <w:basedOn w:val="ListParagraphChar"/>
    <w:link w:val="Bulletedlist"/>
    <w:rsid w:val="009F3E29"/>
    <w:rPr>
      <w:rFonts w:eastAsia="Batang" w:cs="Arial"/>
      <w:bCs/>
      <w:szCs w:val="24"/>
    </w:rPr>
  </w:style>
  <w:style w:type="paragraph" w:customStyle="1" w:styleId="TableTextLeft">
    <w:name w:val="~TableTextLeft"/>
    <w:basedOn w:val="Normal"/>
    <w:rsid w:val="009F3E29"/>
    <w:pPr>
      <w:spacing w:before="40" w:after="40" w:line="240" w:lineRule="auto"/>
      <w:jc w:val="both"/>
    </w:pPr>
    <w:rPr>
      <w:rFonts w:cs="System"/>
      <w:color w:val="000000"/>
      <w:sz w:val="18"/>
      <w:szCs w:val="21"/>
    </w:rPr>
  </w:style>
  <w:style w:type="paragraph" w:customStyle="1" w:styleId="TableHeadingLeft">
    <w:name w:val="~TableHeadingLeft"/>
    <w:basedOn w:val="TableTextLeft"/>
    <w:rsid w:val="009F3E29"/>
    <w:pPr>
      <w:keepNext/>
    </w:pPr>
    <w:rPr>
      <w:b/>
      <w:szCs w:val="26"/>
    </w:rPr>
  </w:style>
  <w:style w:type="table" w:customStyle="1" w:styleId="Icon">
    <w:name w:val="~Icon"/>
    <w:basedOn w:val="TableNormal"/>
    <w:uiPriority w:val="99"/>
    <w:rsid w:val="009F3E29"/>
    <w:pPr>
      <w:spacing w:before="180" w:after="0" w:line="276" w:lineRule="auto"/>
    </w:pPr>
    <w:rPr>
      <w:rFonts w:cs="System"/>
      <w:color w:val="000000"/>
      <w:sz w:val="21"/>
      <w:szCs w:val="21"/>
    </w:rPr>
    <w:tblPr>
      <w:tblStyleRowBandSize w:val="1"/>
      <w:tblBorders>
        <w:top w:val="single" w:sz="2" w:space="0" w:color="000000"/>
        <w:bottom w:val="single" w:sz="2" w:space="0" w:color="000000"/>
      </w:tblBorders>
      <w:tblCellMar>
        <w:left w:w="28" w:type="dxa"/>
        <w:right w:w="28" w:type="dxa"/>
      </w:tblCellMar>
    </w:tblPr>
    <w:tblStylePr w:type="firstRow">
      <w:tblPr/>
      <w:trPr>
        <w:tblHeader/>
      </w:trPr>
      <w:tcPr>
        <w:tcBorders>
          <w:top w:val="single" w:sz="2" w:space="0" w:color="000000"/>
          <w:left w:val="nil"/>
          <w:bottom w:val="single" w:sz="2" w:space="0" w:color="000000"/>
          <w:right w:val="nil"/>
          <w:insideH w:val="nil"/>
          <w:insideV w:val="nil"/>
          <w:tl2br w:val="nil"/>
          <w:tr2bl w:val="nil"/>
        </w:tcBorders>
      </w:tcPr>
    </w:tblStylePr>
    <w:tblStylePr w:type="band1Horz">
      <w:tblPr/>
      <w:tcPr>
        <w:shd w:val="clear" w:color="auto" w:fill="F2F2F2"/>
      </w:tcPr>
    </w:tblStylePr>
  </w:style>
  <w:style w:type="paragraph" w:customStyle="1" w:styleId="Aclasta-BodyText">
    <w:name w:val="Aclasta - Body Text"/>
    <w:basedOn w:val="BodyText"/>
    <w:next w:val="BodyText"/>
    <w:link w:val="Aclasta-BodyTextChar"/>
    <w:uiPriority w:val="99"/>
    <w:rsid w:val="009F3E29"/>
    <w:pPr>
      <w:autoSpaceDE/>
      <w:autoSpaceDN/>
      <w:adjustRightInd/>
      <w:spacing w:before="120" w:line="360" w:lineRule="auto"/>
      <w:jc w:val="both"/>
    </w:pPr>
    <w:rPr>
      <w:rFonts w:ascii="Arial" w:eastAsia="Gungsuh" w:hAnsi="Arial"/>
      <w:bCs w:val="0"/>
      <w:sz w:val="21"/>
      <w:szCs w:val="22"/>
    </w:rPr>
  </w:style>
  <w:style w:type="character" w:customStyle="1" w:styleId="Aclasta-BodyTextChar">
    <w:name w:val="Aclasta - Body Text Char"/>
    <w:basedOn w:val="DefaultParagraphFont"/>
    <w:link w:val="Aclasta-BodyText"/>
    <w:uiPriority w:val="99"/>
    <w:locked/>
    <w:rsid w:val="009F3E29"/>
    <w:rPr>
      <w:rFonts w:ascii="Arial" w:eastAsia="Gungsuh" w:hAnsi="Arial" w:cs="Arial"/>
      <w:sz w:val="21"/>
    </w:rPr>
  </w:style>
  <w:style w:type="paragraph" w:styleId="BodyText">
    <w:name w:val="Body Text"/>
    <w:basedOn w:val="Normal"/>
    <w:link w:val="BodyTextChar"/>
    <w:uiPriority w:val="99"/>
    <w:semiHidden/>
    <w:unhideWhenUsed/>
    <w:rsid w:val="009F3E29"/>
    <w:pPr>
      <w:autoSpaceDE w:val="0"/>
      <w:autoSpaceDN w:val="0"/>
      <w:adjustRightInd w:val="0"/>
      <w:spacing w:after="120" w:line="480" w:lineRule="auto"/>
    </w:pPr>
    <w:rPr>
      <w:rFonts w:eastAsia="Batang" w:cs="Arial"/>
      <w:bCs/>
      <w:szCs w:val="24"/>
    </w:rPr>
  </w:style>
  <w:style w:type="character" w:customStyle="1" w:styleId="BodyTextChar">
    <w:name w:val="Body Text Char"/>
    <w:basedOn w:val="DefaultParagraphFont"/>
    <w:link w:val="BodyText"/>
    <w:uiPriority w:val="99"/>
    <w:semiHidden/>
    <w:rsid w:val="009F3E29"/>
    <w:rPr>
      <w:rFonts w:eastAsia="Batang" w:cs="Arial"/>
      <w:bCs/>
      <w:szCs w:val="24"/>
    </w:rPr>
  </w:style>
  <w:style w:type="character" w:styleId="CommentReference">
    <w:name w:val="annotation reference"/>
    <w:basedOn w:val="DefaultParagraphFont"/>
    <w:uiPriority w:val="99"/>
    <w:semiHidden/>
    <w:unhideWhenUsed/>
    <w:rsid w:val="009F3E29"/>
    <w:rPr>
      <w:sz w:val="16"/>
      <w:szCs w:val="16"/>
    </w:rPr>
  </w:style>
  <w:style w:type="paragraph" w:styleId="CommentText">
    <w:name w:val="annotation text"/>
    <w:basedOn w:val="Normal"/>
    <w:link w:val="CommentTextChar"/>
    <w:uiPriority w:val="99"/>
    <w:unhideWhenUsed/>
    <w:rsid w:val="009F3E29"/>
    <w:pPr>
      <w:autoSpaceDE w:val="0"/>
      <w:autoSpaceDN w:val="0"/>
      <w:adjustRightInd w:val="0"/>
      <w:spacing w:after="0" w:line="240" w:lineRule="auto"/>
    </w:pPr>
    <w:rPr>
      <w:rFonts w:eastAsia="Batang" w:cs="Arial"/>
      <w:bCs/>
      <w:sz w:val="20"/>
      <w:szCs w:val="20"/>
    </w:rPr>
  </w:style>
  <w:style w:type="character" w:customStyle="1" w:styleId="CommentTextChar">
    <w:name w:val="Comment Text Char"/>
    <w:basedOn w:val="DefaultParagraphFont"/>
    <w:link w:val="CommentText"/>
    <w:uiPriority w:val="99"/>
    <w:rsid w:val="009F3E29"/>
    <w:rPr>
      <w:rFonts w:eastAsia="Batang" w:cs="Arial"/>
      <w:bCs/>
      <w:sz w:val="20"/>
      <w:szCs w:val="20"/>
    </w:rPr>
  </w:style>
  <w:style w:type="paragraph" w:styleId="CommentSubject">
    <w:name w:val="annotation subject"/>
    <w:basedOn w:val="CommentText"/>
    <w:next w:val="CommentText"/>
    <w:link w:val="CommentSubjectChar"/>
    <w:uiPriority w:val="99"/>
    <w:semiHidden/>
    <w:unhideWhenUsed/>
    <w:rsid w:val="009F3E29"/>
    <w:rPr>
      <w:b/>
    </w:rPr>
  </w:style>
  <w:style w:type="character" w:customStyle="1" w:styleId="CommentSubjectChar">
    <w:name w:val="Comment Subject Char"/>
    <w:basedOn w:val="CommentTextChar"/>
    <w:link w:val="CommentSubject"/>
    <w:uiPriority w:val="99"/>
    <w:semiHidden/>
    <w:rsid w:val="009F3E29"/>
    <w:rPr>
      <w:rFonts w:eastAsia="Batang" w:cs="Arial"/>
      <w:b/>
      <w:bCs/>
      <w:sz w:val="20"/>
      <w:szCs w:val="20"/>
    </w:rPr>
  </w:style>
  <w:style w:type="paragraph" w:styleId="BalloonText">
    <w:name w:val="Balloon Text"/>
    <w:basedOn w:val="Normal"/>
    <w:link w:val="BalloonTextChar"/>
    <w:uiPriority w:val="99"/>
    <w:semiHidden/>
    <w:unhideWhenUsed/>
    <w:rsid w:val="009F3E29"/>
    <w:pPr>
      <w:autoSpaceDE w:val="0"/>
      <w:autoSpaceDN w:val="0"/>
      <w:adjustRightInd w:val="0"/>
      <w:spacing w:after="0" w:line="240" w:lineRule="auto"/>
    </w:pPr>
    <w:rPr>
      <w:rFonts w:ascii="Segoe UI" w:eastAsia="Batang" w:hAnsi="Segoe UI" w:cs="Segoe UI"/>
      <w:bCs/>
      <w:sz w:val="18"/>
      <w:szCs w:val="18"/>
    </w:rPr>
  </w:style>
  <w:style w:type="character" w:customStyle="1" w:styleId="BalloonTextChar">
    <w:name w:val="Balloon Text Char"/>
    <w:basedOn w:val="DefaultParagraphFont"/>
    <w:link w:val="BalloonText"/>
    <w:uiPriority w:val="99"/>
    <w:semiHidden/>
    <w:rsid w:val="009F3E29"/>
    <w:rPr>
      <w:rFonts w:ascii="Segoe UI" w:eastAsia="Batang" w:hAnsi="Segoe UI" w:cs="Segoe UI"/>
      <w:bCs/>
      <w:sz w:val="18"/>
      <w:szCs w:val="18"/>
    </w:rPr>
  </w:style>
  <w:style w:type="paragraph" w:customStyle="1" w:styleId="CaptionforAppendix1">
    <w:name w:val="Caption for Appendix1"/>
    <w:basedOn w:val="Normal"/>
    <w:next w:val="Normal"/>
    <w:uiPriority w:val="35"/>
    <w:rsid w:val="009F3E29"/>
    <w:pPr>
      <w:keepNext/>
      <w:tabs>
        <w:tab w:val="left" w:pos="1134"/>
      </w:tabs>
      <w:spacing w:before="180" w:after="60" w:line="276" w:lineRule="auto"/>
      <w:ind w:left="1134" w:hanging="1134"/>
      <w:jc w:val="both"/>
    </w:pPr>
    <w:rPr>
      <w:rFonts w:eastAsia="Calibri" w:cs="System"/>
      <w:i/>
      <w:color w:val="44546A"/>
      <w:sz w:val="20"/>
      <w:szCs w:val="21"/>
    </w:rPr>
  </w:style>
  <w:style w:type="character" w:customStyle="1" w:styleId="CaptionChar">
    <w:name w:val="Caption Char"/>
    <w:basedOn w:val="DefaultParagraphFont"/>
    <w:link w:val="Caption"/>
    <w:uiPriority w:val="35"/>
    <w:rsid w:val="009F3E29"/>
    <w:rPr>
      <w:rFonts w:eastAsia="Calibri" w:cs="System"/>
      <w:i/>
      <w:color w:val="44546A"/>
      <w:sz w:val="20"/>
      <w:szCs w:val="21"/>
    </w:rPr>
  </w:style>
  <w:style w:type="paragraph" w:styleId="Subtitle">
    <w:name w:val="Subtitle"/>
    <w:aliases w:val="Suppl Head1"/>
    <w:basedOn w:val="Heading2"/>
    <w:next w:val="Normal"/>
    <w:link w:val="SubtitleChar"/>
    <w:uiPriority w:val="11"/>
    <w:qFormat/>
    <w:rsid w:val="009F3E29"/>
    <w:pPr>
      <w:keepNext w:val="0"/>
      <w:keepLines w:val="0"/>
      <w:autoSpaceDE w:val="0"/>
      <w:autoSpaceDN w:val="0"/>
      <w:adjustRightInd w:val="0"/>
      <w:spacing w:before="360" w:line="480" w:lineRule="auto"/>
      <w:contextualSpacing/>
    </w:pPr>
    <w:rPr>
      <w:rFonts w:ascii="Calibri" w:eastAsia="Batang" w:hAnsi="Calibri" w:cs="Arial"/>
      <w:b/>
      <w:bCs/>
      <w:color w:val="808080"/>
      <w:sz w:val="24"/>
      <w:szCs w:val="24"/>
    </w:rPr>
  </w:style>
  <w:style w:type="character" w:customStyle="1" w:styleId="SubtitleChar">
    <w:name w:val="Subtitle Char"/>
    <w:aliases w:val="Suppl Head1 Char"/>
    <w:basedOn w:val="DefaultParagraphFont"/>
    <w:link w:val="Subtitle"/>
    <w:uiPriority w:val="11"/>
    <w:rsid w:val="009F3E29"/>
    <w:rPr>
      <w:rFonts w:ascii="Calibri" w:eastAsia="Batang" w:hAnsi="Calibri" w:cs="Arial"/>
      <w:b/>
      <w:bCs/>
      <w:color w:val="808080"/>
      <w:sz w:val="24"/>
      <w:szCs w:val="24"/>
    </w:rPr>
  </w:style>
  <w:style w:type="character" w:styleId="SubtleEmphasis">
    <w:name w:val="Subtle Emphasis"/>
    <w:aliases w:val="Suppl Head2"/>
    <w:uiPriority w:val="19"/>
    <w:qFormat/>
    <w:rsid w:val="009F3E29"/>
    <w:rPr>
      <w:b/>
    </w:rPr>
  </w:style>
  <w:style w:type="character" w:customStyle="1" w:styleId="Heading4Char1">
    <w:name w:val="Heading 4 Char1"/>
    <w:basedOn w:val="DefaultParagraphFont"/>
    <w:link w:val="Heading4"/>
    <w:uiPriority w:val="9"/>
    <w:semiHidden/>
    <w:rsid w:val="009F3E2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9F3E29"/>
    <w:rPr>
      <w:b/>
      <w:bCs/>
    </w:rPr>
  </w:style>
  <w:style w:type="character" w:customStyle="1" w:styleId="Heading2Char1">
    <w:name w:val="Heading 2 Char1"/>
    <w:basedOn w:val="DefaultParagraphFont"/>
    <w:link w:val="Heading2"/>
    <w:uiPriority w:val="9"/>
    <w:semiHidden/>
    <w:rsid w:val="009F3E29"/>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rsid w:val="009F3E29"/>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rsid w:val="009F3E29"/>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link w:val="CaptionChar"/>
    <w:uiPriority w:val="35"/>
    <w:semiHidden/>
    <w:unhideWhenUsed/>
    <w:qFormat/>
    <w:rsid w:val="009F3E29"/>
    <w:pPr>
      <w:spacing w:after="200" w:line="240" w:lineRule="auto"/>
    </w:pPr>
    <w:rPr>
      <w:rFonts w:eastAsia="Calibri" w:cs="System"/>
      <w:i/>
      <w:color w:val="44546A"/>
      <w:sz w:val="20"/>
      <w:szCs w:val="21"/>
    </w:rPr>
  </w:style>
  <w:style w:type="character" w:styleId="Hyperlink">
    <w:name w:val="Hyperlink"/>
    <w:basedOn w:val="DefaultParagraphFont"/>
    <w:uiPriority w:val="99"/>
    <w:unhideWhenUsed/>
    <w:rsid w:val="00E73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UDG Healthcare</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Weston</dc:creator>
  <cp:lastModifiedBy>Boon Lee</cp:lastModifiedBy>
  <cp:revision>2</cp:revision>
  <cp:lastPrinted>2019-05-14T10:01:00Z</cp:lastPrinted>
  <dcterms:created xsi:type="dcterms:W3CDTF">2019-11-05T00:00:00Z</dcterms:created>
  <dcterms:modified xsi:type="dcterms:W3CDTF">2019-11-05T00:00:00Z</dcterms:modified>
</cp:coreProperties>
</file>