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E0B0F" w14:textId="77777777" w:rsidR="005D7ADE" w:rsidRPr="004829A7" w:rsidRDefault="005D7ADE" w:rsidP="005D7ADE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hint="eastAsia"/>
          <w:b/>
          <w:sz w:val="28"/>
          <w:szCs w:val="28"/>
        </w:rPr>
        <w:t xml:space="preserve">Supplements: </w:t>
      </w:r>
      <w:r w:rsidRPr="004829A7">
        <w:rPr>
          <w:rFonts w:ascii="Times New Roman" w:hAnsi="Times New Roman" w:hint="eastAsia"/>
          <w:b/>
          <w:sz w:val="28"/>
          <w:szCs w:val="28"/>
        </w:rPr>
        <w:t>Figure and Table legends</w:t>
      </w:r>
    </w:p>
    <w:p w14:paraId="54EB1C69" w14:textId="77777777" w:rsidR="00043C76" w:rsidRDefault="00043C76" w:rsidP="005D7ADE">
      <w:pPr>
        <w:rPr>
          <w:rFonts w:cs="Arial"/>
          <w:b/>
          <w:szCs w:val="20"/>
        </w:rPr>
      </w:pPr>
    </w:p>
    <w:p w14:paraId="5AADB971" w14:textId="77777777" w:rsidR="005D7ADE" w:rsidRPr="00043C76" w:rsidRDefault="005D7ADE" w:rsidP="005D7ADE">
      <w:pPr>
        <w:rPr>
          <w:rFonts w:cs="Arial"/>
          <w:szCs w:val="20"/>
        </w:rPr>
      </w:pPr>
      <w:r w:rsidRPr="00043C76">
        <w:rPr>
          <w:rFonts w:cs="Arial"/>
          <w:b/>
          <w:szCs w:val="20"/>
        </w:rPr>
        <w:t>Fig. S1.</w:t>
      </w:r>
      <w:r w:rsidRPr="00043C76">
        <w:rPr>
          <w:rFonts w:cs="Arial"/>
          <w:szCs w:val="20"/>
        </w:rPr>
        <w:t xml:space="preserve"> 3-D cube plot of Box-Behnken experimental design for 3 factors.</w:t>
      </w:r>
    </w:p>
    <w:p w14:paraId="55B000F6" w14:textId="77777777" w:rsidR="00B54884" w:rsidRPr="00043C76" w:rsidRDefault="00B54884" w:rsidP="005D7ADE">
      <w:pPr>
        <w:rPr>
          <w:rFonts w:cs="Arial"/>
          <w:b/>
          <w:szCs w:val="20"/>
        </w:rPr>
      </w:pPr>
    </w:p>
    <w:p w14:paraId="5C21C032" w14:textId="77777777" w:rsidR="005D7ADE" w:rsidRPr="00043C76" w:rsidRDefault="005D7ADE" w:rsidP="005D7ADE">
      <w:pPr>
        <w:rPr>
          <w:rFonts w:cs="Arial"/>
          <w:szCs w:val="20"/>
        </w:rPr>
      </w:pPr>
      <w:r w:rsidRPr="00043C76">
        <w:rPr>
          <w:rFonts w:cs="Arial"/>
          <w:b/>
          <w:szCs w:val="20"/>
        </w:rPr>
        <w:t>Table S1.</w:t>
      </w:r>
      <w:r w:rsidRPr="00043C76">
        <w:rPr>
          <w:rFonts w:cs="Arial"/>
          <w:szCs w:val="20"/>
        </w:rPr>
        <w:t xml:space="preserve"> Scoring of human skin irritation study</w:t>
      </w:r>
    </w:p>
    <w:p w14:paraId="15D72E69" w14:textId="77777777" w:rsidR="005D7ADE" w:rsidRPr="00043C76" w:rsidRDefault="005D7ADE" w:rsidP="005D7ADE">
      <w:pPr>
        <w:rPr>
          <w:rFonts w:cs="Arial"/>
          <w:szCs w:val="20"/>
        </w:rPr>
      </w:pPr>
      <w:r w:rsidRPr="00043C76">
        <w:rPr>
          <w:rFonts w:cs="Arial"/>
          <w:b/>
          <w:szCs w:val="20"/>
        </w:rPr>
        <w:t>Table S2.</w:t>
      </w:r>
      <w:r w:rsidRPr="00043C76">
        <w:rPr>
          <w:rFonts w:cs="Arial"/>
          <w:szCs w:val="20"/>
        </w:rPr>
        <w:t xml:space="preserve"> Criteria of single dose skin irritation study score system</w:t>
      </w:r>
    </w:p>
    <w:p w14:paraId="7B1C295D" w14:textId="77777777" w:rsidR="005D7ADE" w:rsidRPr="00043C76" w:rsidRDefault="005D7ADE" w:rsidP="005D7ADE">
      <w:pPr>
        <w:rPr>
          <w:rFonts w:cs="Arial"/>
          <w:szCs w:val="20"/>
        </w:rPr>
      </w:pPr>
      <w:r w:rsidRPr="00043C76">
        <w:rPr>
          <w:rFonts w:cs="Arial"/>
          <w:b/>
          <w:szCs w:val="20"/>
        </w:rPr>
        <w:t>Table S3.</w:t>
      </w:r>
      <w:r w:rsidRPr="00043C76">
        <w:rPr>
          <w:rFonts w:cs="Arial"/>
          <w:szCs w:val="20"/>
        </w:rPr>
        <w:t xml:space="preserve"> Effect of poloxamer on the average particle size of solid lipid nanoparticles.</w:t>
      </w:r>
    </w:p>
    <w:p w14:paraId="026BCFF9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7D16283E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5612D9D8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2C3C2609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1A8BF6B2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0683D2D3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0A3B990F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2B6B94F7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593E8A44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4F4B37EE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13AD8E83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04410465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4D525123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69FF7943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08DBFF79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7AE4694B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27A8661F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0262811E" w14:textId="77777777" w:rsidR="00B54884" w:rsidRDefault="00B54884" w:rsidP="00EE0017">
      <w:pPr>
        <w:widowControl w:val="0"/>
        <w:rPr>
          <w:rFonts w:cs="Arial"/>
          <w:b/>
          <w:bCs/>
        </w:rPr>
      </w:pPr>
    </w:p>
    <w:p w14:paraId="180004D0" w14:textId="77777777" w:rsidR="00B54884" w:rsidRDefault="00B54884" w:rsidP="00EE0017">
      <w:pPr>
        <w:widowControl w:val="0"/>
        <w:rPr>
          <w:rFonts w:cs="Arial"/>
          <w:b/>
          <w:bCs/>
        </w:rPr>
      </w:pPr>
    </w:p>
    <w:p w14:paraId="53C559C9" w14:textId="77777777" w:rsidR="00B54884" w:rsidRDefault="00B54884" w:rsidP="00EE0017">
      <w:pPr>
        <w:widowControl w:val="0"/>
        <w:rPr>
          <w:rFonts w:cs="Arial"/>
          <w:b/>
          <w:bCs/>
        </w:rPr>
      </w:pPr>
    </w:p>
    <w:p w14:paraId="551243AB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38BAD42F" w14:textId="77777777" w:rsidR="005D7ADE" w:rsidRPr="00DD405B" w:rsidRDefault="005D7ADE" w:rsidP="005D7ADE">
      <w:pPr>
        <w:rPr>
          <w:rFonts w:ascii="Times New Roman" w:hAnsi="Times New Roman"/>
          <w:b/>
          <w:sz w:val="28"/>
          <w:szCs w:val="28"/>
        </w:rPr>
      </w:pPr>
      <w:r w:rsidRPr="00DD405B">
        <w:rPr>
          <w:rFonts w:ascii="Times New Roman" w:hAnsi="Times New Roman"/>
          <w:b/>
          <w:sz w:val="28"/>
          <w:szCs w:val="28"/>
        </w:rPr>
        <w:lastRenderedPageBreak/>
        <w:t>Supplement</w:t>
      </w:r>
      <w:r>
        <w:rPr>
          <w:rFonts w:ascii="Times New Roman" w:hAnsi="Times New Roman"/>
          <w:b/>
          <w:sz w:val="28"/>
          <w:szCs w:val="28"/>
        </w:rPr>
        <w:t>ary Information</w:t>
      </w:r>
      <w:r w:rsidRPr="00DD405B">
        <w:rPr>
          <w:rFonts w:ascii="Times New Roman" w:hAnsi="Times New Roman" w:hint="eastAsia"/>
          <w:b/>
          <w:sz w:val="28"/>
          <w:szCs w:val="28"/>
        </w:rPr>
        <w:t>:</w:t>
      </w:r>
    </w:p>
    <w:p w14:paraId="726AD97A" w14:textId="77777777" w:rsidR="005D7ADE" w:rsidRDefault="005D7ADE" w:rsidP="005D7ADE">
      <w:pPr>
        <w:rPr>
          <w:rFonts w:ascii="Times New Roman" w:hAnsi="Times New Roman"/>
          <w:sz w:val="24"/>
        </w:rPr>
      </w:pPr>
    </w:p>
    <w:p w14:paraId="08260553" w14:textId="77777777" w:rsidR="005D7ADE" w:rsidRPr="00DD405B" w:rsidRDefault="0046034F" w:rsidP="005D7ADE">
      <w:pPr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329A693" wp14:editId="4FE82FC4">
            <wp:simplePos x="0" y="0"/>
            <wp:positionH relativeFrom="margin">
              <wp:posOffset>76200</wp:posOffset>
            </wp:positionH>
            <wp:positionV relativeFrom="paragraph">
              <wp:posOffset>243840</wp:posOffset>
            </wp:positionV>
            <wp:extent cx="5286375" cy="2887980"/>
            <wp:effectExtent l="0" t="0" r="0" b="0"/>
            <wp:wrapTopAndBottom/>
            <wp:docPr id="42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6F920" w14:textId="77777777" w:rsidR="005D7ADE" w:rsidRDefault="005D7ADE" w:rsidP="005D7ADE">
      <w:pPr>
        <w:rPr>
          <w:rFonts w:ascii="Times New Roman" w:hAnsi="Times New Roman"/>
          <w:sz w:val="24"/>
        </w:rPr>
      </w:pPr>
    </w:p>
    <w:p w14:paraId="61B00E66" w14:textId="77777777" w:rsidR="005D7ADE" w:rsidRPr="00043C76" w:rsidRDefault="005D7ADE" w:rsidP="005D7ADE">
      <w:pPr>
        <w:rPr>
          <w:rFonts w:cs="Arial"/>
          <w:szCs w:val="20"/>
        </w:rPr>
      </w:pPr>
    </w:p>
    <w:p w14:paraId="3A254DB9" w14:textId="77777777" w:rsidR="005D7ADE" w:rsidRPr="00043C76" w:rsidRDefault="005D7ADE" w:rsidP="005D7ADE">
      <w:pPr>
        <w:rPr>
          <w:rFonts w:cs="Arial"/>
          <w:szCs w:val="20"/>
        </w:rPr>
      </w:pPr>
      <w:r w:rsidRPr="00043C76">
        <w:rPr>
          <w:rFonts w:cs="Arial"/>
          <w:b/>
          <w:szCs w:val="20"/>
        </w:rPr>
        <w:t>Fig. S1</w:t>
      </w:r>
      <w:r w:rsidRPr="00043C76">
        <w:rPr>
          <w:rFonts w:cs="Arial"/>
          <w:szCs w:val="20"/>
        </w:rPr>
        <w:t>. 3-D cube plot of Box-Behnken experimental design for 3 factors.</w:t>
      </w:r>
    </w:p>
    <w:p w14:paraId="442396E9" w14:textId="77777777" w:rsidR="00B54884" w:rsidRDefault="005D7ADE" w:rsidP="00B54884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24614748" w14:textId="77777777" w:rsidR="005D7ADE" w:rsidRPr="00043C76" w:rsidRDefault="005D7ADE" w:rsidP="00B54884">
      <w:pPr>
        <w:spacing w:after="200" w:line="276" w:lineRule="auto"/>
        <w:rPr>
          <w:rFonts w:cs="Arial"/>
          <w:szCs w:val="20"/>
        </w:rPr>
      </w:pPr>
      <w:r w:rsidRPr="00043C76">
        <w:rPr>
          <w:rFonts w:cs="Arial"/>
          <w:b/>
          <w:szCs w:val="20"/>
        </w:rPr>
        <w:lastRenderedPageBreak/>
        <w:t>Table S1.</w:t>
      </w:r>
      <w:r w:rsidRPr="00043C76">
        <w:rPr>
          <w:rFonts w:cs="Arial"/>
          <w:szCs w:val="20"/>
        </w:rPr>
        <w:t xml:space="preserve"> Scoring of human skin irritation study</w:t>
      </w:r>
    </w:p>
    <w:tbl>
      <w:tblPr>
        <w:tblW w:w="9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2759"/>
      </w:tblGrid>
      <w:tr w:rsidR="005D7ADE" w:rsidRPr="00DD405B" w14:paraId="774C74FF" w14:textId="77777777" w:rsidTr="00481F83">
        <w:trPr>
          <w:trHeight w:val="705"/>
          <w:jc w:val="center"/>
        </w:trPr>
        <w:tc>
          <w:tcPr>
            <w:tcW w:w="6521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F85871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D405B">
              <w:rPr>
                <w:rFonts w:ascii="Times New Roman" w:hAnsi="Times New Roman"/>
                <w:b/>
                <w:sz w:val="24"/>
              </w:rPr>
              <w:t>Criteria</w:t>
            </w:r>
          </w:p>
        </w:tc>
        <w:tc>
          <w:tcPr>
            <w:tcW w:w="2759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65C53C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D405B">
              <w:rPr>
                <w:rFonts w:ascii="Times New Roman" w:hAnsi="Times New Roman"/>
                <w:b/>
                <w:sz w:val="24"/>
              </w:rPr>
              <w:t>Score</w:t>
            </w:r>
          </w:p>
        </w:tc>
      </w:tr>
      <w:tr w:rsidR="005D7ADE" w:rsidRPr="00DD405B" w14:paraId="5EF6301C" w14:textId="77777777" w:rsidTr="00481F83">
        <w:trPr>
          <w:trHeight w:val="588"/>
          <w:jc w:val="center"/>
        </w:trPr>
        <w:tc>
          <w:tcPr>
            <w:tcW w:w="65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1518C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/>
                <w:sz w:val="24"/>
              </w:rPr>
              <w:t>No signs of inflammation, normal skin</w:t>
            </w:r>
          </w:p>
        </w:tc>
        <w:tc>
          <w:tcPr>
            <w:tcW w:w="27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24BE4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/>
                <w:sz w:val="24"/>
              </w:rPr>
              <w:t>0 (-)</w:t>
            </w:r>
          </w:p>
        </w:tc>
      </w:tr>
      <w:tr w:rsidR="005D7ADE" w:rsidRPr="00DD405B" w14:paraId="02FD6106" w14:textId="77777777" w:rsidTr="00481F83">
        <w:trPr>
          <w:trHeight w:val="588"/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08A8D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/>
                <w:sz w:val="24"/>
              </w:rPr>
              <w:t>Doubtful or slight reaction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FF7AD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/>
                <w:sz w:val="24"/>
              </w:rPr>
              <w:t>0.5 (±)</w:t>
            </w:r>
          </w:p>
        </w:tc>
      </w:tr>
      <w:tr w:rsidR="005D7ADE" w:rsidRPr="00DD405B" w14:paraId="7889C2A2" w14:textId="77777777" w:rsidTr="00481F83">
        <w:trPr>
          <w:trHeight w:val="627"/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FC6FF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/>
                <w:sz w:val="24"/>
              </w:rPr>
              <w:t>Slight erythema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1F7BC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/>
                <w:sz w:val="24"/>
              </w:rPr>
              <w:t>1 (+)</w:t>
            </w:r>
          </w:p>
        </w:tc>
      </w:tr>
      <w:tr w:rsidR="005D7ADE" w:rsidRPr="00DD405B" w14:paraId="65965D14" w14:textId="77777777" w:rsidTr="00481F83">
        <w:trPr>
          <w:trHeight w:val="588"/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CAACD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/>
                <w:sz w:val="24"/>
              </w:rPr>
              <w:t>Moderate erythema with or without partial edema or papules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14E52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/>
                <w:sz w:val="24"/>
              </w:rPr>
              <w:t>2 (++)</w:t>
            </w:r>
          </w:p>
        </w:tc>
      </w:tr>
      <w:tr w:rsidR="005D7ADE" w:rsidRPr="00DD405B" w14:paraId="4443067E" w14:textId="77777777" w:rsidTr="00481F83">
        <w:trPr>
          <w:trHeight w:val="588"/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DB86F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/>
                <w:sz w:val="24"/>
              </w:rPr>
              <w:t>Moderate erythema with diffuse edema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950F0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/>
                <w:sz w:val="24"/>
              </w:rPr>
              <w:t>3 (+++)</w:t>
            </w:r>
          </w:p>
        </w:tc>
      </w:tr>
      <w:tr w:rsidR="005D7ADE" w:rsidRPr="00DD405B" w14:paraId="17612803" w14:textId="77777777" w:rsidTr="00481F83">
        <w:trPr>
          <w:trHeight w:val="588"/>
          <w:jc w:val="center"/>
        </w:trPr>
        <w:tc>
          <w:tcPr>
            <w:tcW w:w="652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A5CDAA0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/>
                <w:sz w:val="24"/>
              </w:rPr>
              <w:t>Intense erythema with diffuse edema with vesicles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73C1793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/>
                <w:sz w:val="24"/>
              </w:rPr>
              <w:t>4 (+++)</w:t>
            </w:r>
          </w:p>
        </w:tc>
      </w:tr>
    </w:tbl>
    <w:p w14:paraId="0548CB1E" w14:textId="77777777" w:rsidR="005D7ADE" w:rsidRPr="00DD405B" w:rsidRDefault="005D7ADE" w:rsidP="005D7ADE">
      <w:pPr>
        <w:rPr>
          <w:rFonts w:ascii="Times New Roman" w:hAnsi="Times New Roman"/>
          <w:sz w:val="24"/>
        </w:rPr>
      </w:pPr>
    </w:p>
    <w:p w14:paraId="54A4F113" w14:textId="77777777" w:rsidR="005D7ADE" w:rsidRDefault="005D7ADE" w:rsidP="005D7ADE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6C14210" w14:textId="77777777" w:rsidR="005D7ADE" w:rsidRPr="00043C76" w:rsidRDefault="005D7ADE" w:rsidP="005D7ADE">
      <w:pPr>
        <w:rPr>
          <w:rFonts w:cs="Arial"/>
          <w:szCs w:val="20"/>
        </w:rPr>
      </w:pPr>
      <w:r w:rsidRPr="00043C76">
        <w:rPr>
          <w:rFonts w:cs="Arial"/>
          <w:b/>
          <w:szCs w:val="20"/>
        </w:rPr>
        <w:lastRenderedPageBreak/>
        <w:t>Table S2</w:t>
      </w:r>
      <w:r w:rsidRPr="00043C76">
        <w:rPr>
          <w:rFonts w:cs="Arial"/>
          <w:szCs w:val="20"/>
        </w:rPr>
        <w:t>. Criteria of single dose skin irritation study score system</w:t>
      </w:r>
    </w:p>
    <w:tbl>
      <w:tblPr>
        <w:tblW w:w="8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8"/>
        <w:gridCol w:w="4138"/>
      </w:tblGrid>
      <w:tr w:rsidR="005D7ADE" w:rsidRPr="00DD405B" w14:paraId="5997A098" w14:textId="77777777" w:rsidTr="00481F83">
        <w:trPr>
          <w:trHeight w:val="596"/>
        </w:trPr>
        <w:tc>
          <w:tcPr>
            <w:tcW w:w="4138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F1049B0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D405B">
              <w:rPr>
                <w:rFonts w:ascii="Times New Roman" w:hAnsi="Times New Roman"/>
                <w:b/>
                <w:sz w:val="24"/>
              </w:rPr>
              <w:t>Criteria</w:t>
            </w:r>
          </w:p>
        </w:tc>
        <w:tc>
          <w:tcPr>
            <w:tcW w:w="4138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EE7B1AA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D405B">
              <w:rPr>
                <w:rFonts w:ascii="Times New Roman" w:hAnsi="Times New Roman"/>
                <w:b/>
                <w:sz w:val="24"/>
              </w:rPr>
              <w:t>Irritation s</w:t>
            </w:r>
            <w:r w:rsidRPr="00DD405B">
              <w:rPr>
                <w:rFonts w:ascii="Times New Roman" w:hAnsi="Times New Roman" w:hint="eastAsia"/>
                <w:b/>
                <w:sz w:val="24"/>
              </w:rPr>
              <w:t>core</w:t>
            </w:r>
          </w:p>
        </w:tc>
      </w:tr>
      <w:tr w:rsidR="005D7ADE" w:rsidRPr="00DD405B" w14:paraId="15B5E697" w14:textId="77777777" w:rsidTr="00481F83">
        <w:trPr>
          <w:trHeight w:val="492"/>
        </w:trPr>
        <w:tc>
          <w:tcPr>
            <w:tcW w:w="4138" w:type="dxa"/>
            <w:tcBorders>
              <w:left w:val="nil"/>
              <w:bottom w:val="nil"/>
              <w:right w:val="nil"/>
            </w:tcBorders>
            <w:vAlign w:val="center"/>
          </w:tcPr>
          <w:p w14:paraId="28F8DF41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 w:hint="eastAsia"/>
                <w:sz w:val="24"/>
              </w:rPr>
              <w:t>No irritancy</w:t>
            </w:r>
          </w:p>
        </w:tc>
        <w:tc>
          <w:tcPr>
            <w:tcW w:w="4138" w:type="dxa"/>
            <w:tcBorders>
              <w:left w:val="nil"/>
              <w:bottom w:val="nil"/>
              <w:right w:val="nil"/>
            </w:tcBorders>
            <w:vAlign w:val="center"/>
          </w:tcPr>
          <w:p w14:paraId="6E999A00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 w:hint="eastAsia"/>
                <w:sz w:val="24"/>
              </w:rPr>
              <w:t>0-0.02</w:t>
            </w:r>
          </w:p>
        </w:tc>
      </w:tr>
      <w:tr w:rsidR="005D7ADE" w:rsidRPr="00DD405B" w14:paraId="799B0755" w14:textId="77777777" w:rsidTr="00481F83">
        <w:trPr>
          <w:trHeight w:val="520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BFA9B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 w:hint="eastAsia"/>
                <w:sz w:val="24"/>
              </w:rPr>
              <w:t>Low irritancy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9FEA7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 w:hint="eastAsia"/>
                <w:sz w:val="24"/>
              </w:rPr>
              <w:t>0.021-0.25</w:t>
            </w:r>
          </w:p>
        </w:tc>
      </w:tr>
      <w:tr w:rsidR="005D7ADE" w:rsidRPr="00DD405B" w14:paraId="6573F787" w14:textId="77777777" w:rsidTr="00481F83">
        <w:trPr>
          <w:trHeight w:val="492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550B3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 w:hint="eastAsia"/>
                <w:sz w:val="24"/>
              </w:rPr>
              <w:t>Slight irritancy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5B093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 w:hint="eastAsia"/>
                <w:sz w:val="24"/>
              </w:rPr>
              <w:t>0.26-1</w:t>
            </w:r>
          </w:p>
        </w:tc>
      </w:tr>
      <w:tr w:rsidR="005D7ADE" w:rsidRPr="00DD405B" w14:paraId="1CE3AD35" w14:textId="77777777" w:rsidTr="00481F83">
        <w:trPr>
          <w:trHeight w:val="492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BE743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 w:hint="eastAsia"/>
                <w:sz w:val="24"/>
              </w:rPr>
              <w:t>Moderate irritancy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BA6C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 w:hint="eastAsia"/>
                <w:sz w:val="24"/>
              </w:rPr>
              <w:t>1-2.5</w:t>
            </w:r>
          </w:p>
        </w:tc>
      </w:tr>
      <w:tr w:rsidR="005D7ADE" w:rsidRPr="00DD405B" w14:paraId="78D955EE" w14:textId="77777777" w:rsidTr="00481F83">
        <w:trPr>
          <w:trHeight w:val="492"/>
        </w:trPr>
        <w:tc>
          <w:tcPr>
            <w:tcW w:w="41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5789A5A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 w:hint="eastAsia"/>
                <w:sz w:val="24"/>
              </w:rPr>
              <w:t>Severe irritancy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EC64F34" w14:textId="77777777" w:rsidR="005D7ADE" w:rsidRPr="00DD405B" w:rsidRDefault="005D7ADE" w:rsidP="00481F83">
            <w:pPr>
              <w:jc w:val="center"/>
              <w:rPr>
                <w:rFonts w:ascii="Times New Roman" w:hAnsi="Times New Roman"/>
                <w:sz w:val="24"/>
              </w:rPr>
            </w:pPr>
            <w:r w:rsidRPr="00DD405B">
              <w:rPr>
                <w:rFonts w:ascii="Times New Roman" w:hAnsi="Times New Roman" w:hint="eastAsia"/>
                <w:sz w:val="24"/>
              </w:rPr>
              <w:t>2.5-</w:t>
            </w:r>
          </w:p>
        </w:tc>
      </w:tr>
    </w:tbl>
    <w:p w14:paraId="44C275B6" w14:textId="77777777" w:rsidR="005D7ADE" w:rsidRDefault="005D7ADE" w:rsidP="005D7ADE">
      <w:pPr>
        <w:rPr>
          <w:rFonts w:ascii="Times New Roman" w:hAnsi="Times New Roman"/>
          <w:sz w:val="24"/>
        </w:rPr>
      </w:pPr>
    </w:p>
    <w:p w14:paraId="732A9078" w14:textId="77777777" w:rsidR="005D7ADE" w:rsidRDefault="005D7ADE" w:rsidP="005D7ADE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2F54521" w14:textId="77777777" w:rsidR="005D7ADE" w:rsidRDefault="005D7ADE" w:rsidP="005D7ADE">
      <w:pPr>
        <w:spacing w:after="200" w:line="276" w:lineRule="auto"/>
        <w:rPr>
          <w:rFonts w:ascii="Times New Roman" w:hAnsi="Times New Roman"/>
          <w:sz w:val="24"/>
        </w:rPr>
      </w:pPr>
    </w:p>
    <w:p w14:paraId="5669CE71" w14:textId="77777777" w:rsidR="005D7ADE" w:rsidRDefault="005D7ADE" w:rsidP="005D7ADE">
      <w:pPr>
        <w:spacing w:after="200" w:line="276" w:lineRule="auto"/>
        <w:rPr>
          <w:rFonts w:ascii="Times New Roman" w:hAnsi="Times New Roman"/>
          <w:sz w:val="24"/>
        </w:rPr>
      </w:pPr>
    </w:p>
    <w:p w14:paraId="34219B85" w14:textId="77777777" w:rsidR="005D7ADE" w:rsidRPr="00043C76" w:rsidRDefault="005D7ADE" w:rsidP="005D7ADE">
      <w:pPr>
        <w:spacing w:after="200" w:line="276" w:lineRule="auto"/>
        <w:rPr>
          <w:rFonts w:cs="Arial"/>
          <w:szCs w:val="20"/>
        </w:rPr>
      </w:pPr>
      <w:r w:rsidRPr="00043C76">
        <w:rPr>
          <w:rFonts w:cs="Arial"/>
          <w:b/>
          <w:szCs w:val="20"/>
        </w:rPr>
        <w:t>Table S3.</w:t>
      </w:r>
      <w:r w:rsidRPr="00043C76">
        <w:rPr>
          <w:rFonts w:cs="Arial"/>
          <w:szCs w:val="20"/>
        </w:rPr>
        <w:t xml:space="preserve"> Effect of poloxamer on the average particle size of solid lipid nanoparticles.</w:t>
      </w:r>
    </w:p>
    <w:tbl>
      <w:tblPr>
        <w:tblpPr w:leftFromText="180" w:rightFromText="180" w:vertAnchor="text" w:horzAnchor="margin" w:tblpY="342"/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268"/>
        <w:gridCol w:w="2409"/>
        <w:gridCol w:w="2077"/>
      </w:tblGrid>
      <w:tr w:rsidR="005D7ADE" w:rsidRPr="00DD405B" w14:paraId="30795CEE" w14:textId="77777777" w:rsidTr="00481F83">
        <w:trPr>
          <w:trHeight w:val="768"/>
        </w:trPr>
        <w:tc>
          <w:tcPr>
            <w:tcW w:w="26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80853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</w:p>
        </w:tc>
        <w:tc>
          <w:tcPr>
            <w:tcW w:w="675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404D0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Formulation</w:t>
            </w:r>
          </w:p>
        </w:tc>
      </w:tr>
      <w:tr w:rsidR="005D7ADE" w:rsidRPr="00DD405B" w14:paraId="262FACEA" w14:textId="77777777" w:rsidTr="00481F83">
        <w:trPr>
          <w:trHeight w:val="482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EEE73C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A29BB4A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 w:hint="eastAsia"/>
                <w:sz w:val="24"/>
              </w:rPr>
              <w:t>R</w:t>
            </w:r>
            <w:r w:rsidRPr="00481F83">
              <w:rPr>
                <w:rFonts w:ascii="Times New Roman" w:eastAsia="Malgun Gothic" w:hAnsi="Times New Roman"/>
                <w:sz w:val="24"/>
              </w:rPr>
              <w:t>x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E030590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Rx 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4F92C92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Rx 3</w:t>
            </w:r>
          </w:p>
        </w:tc>
      </w:tr>
      <w:tr w:rsidR="005D7ADE" w:rsidRPr="00DD405B" w14:paraId="12A2BCE7" w14:textId="77777777" w:rsidTr="00481F83">
        <w:trPr>
          <w:trHeight w:val="768"/>
        </w:trPr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9589D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PPD (%, w/v)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93D14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0.05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8EB06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0.05</w:t>
            </w:r>
          </w:p>
        </w:tc>
        <w:tc>
          <w:tcPr>
            <w:tcW w:w="20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D3F4F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0.05</w:t>
            </w:r>
          </w:p>
        </w:tc>
      </w:tr>
      <w:tr w:rsidR="005D7ADE" w:rsidRPr="00DD405B" w14:paraId="7724FF7C" w14:textId="77777777" w:rsidTr="00481F83">
        <w:trPr>
          <w:trHeight w:val="81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59F7F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proofErr w:type="spellStart"/>
            <w:r w:rsidRPr="00481F83">
              <w:rPr>
                <w:rFonts w:ascii="Times New Roman" w:eastAsia="Malgun Gothic" w:hAnsi="Times New Roman"/>
                <w:sz w:val="24"/>
              </w:rPr>
              <w:t>Cetyl</w:t>
            </w:r>
            <w:proofErr w:type="spellEnd"/>
            <w:r w:rsidRPr="00481F83">
              <w:rPr>
                <w:rFonts w:ascii="Times New Roman" w:eastAsia="Malgun Gothic" w:hAnsi="Times New Roman"/>
                <w:sz w:val="24"/>
              </w:rPr>
              <w:t xml:space="preserve"> palmitate (%, w/v)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479BF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F471D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7FC40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1</w:t>
            </w:r>
          </w:p>
        </w:tc>
      </w:tr>
      <w:tr w:rsidR="005D7ADE" w:rsidRPr="00DD405B" w14:paraId="447A24B6" w14:textId="77777777" w:rsidTr="00481F83">
        <w:trPr>
          <w:trHeight w:val="76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A28E3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Tween 20 (%, v/v)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F7B95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4EB48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2EF10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1</w:t>
            </w:r>
          </w:p>
        </w:tc>
      </w:tr>
      <w:tr w:rsidR="005D7ADE" w:rsidRPr="00DD405B" w14:paraId="24D8DA10" w14:textId="77777777" w:rsidTr="00481F83">
        <w:trPr>
          <w:trHeight w:val="768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F232D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Poloxamer (%, w/v)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52CA5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E91BA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0.25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979F7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0.5</w:t>
            </w:r>
          </w:p>
        </w:tc>
      </w:tr>
      <w:tr w:rsidR="005D7ADE" w:rsidRPr="00DD405B" w14:paraId="2DE840D0" w14:textId="77777777" w:rsidTr="00481F83">
        <w:trPr>
          <w:trHeight w:val="768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E326FC8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Particle size (nm)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F70892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261 ± 2.44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10BCBB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223 ± 7.53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2516CB" w14:textId="77777777" w:rsidR="005D7ADE" w:rsidRPr="00481F83" w:rsidRDefault="005D7ADE" w:rsidP="00481F83">
            <w:pPr>
              <w:jc w:val="center"/>
              <w:rPr>
                <w:rFonts w:ascii="Times New Roman" w:eastAsia="Malgun Gothic" w:hAnsi="Times New Roman"/>
                <w:sz w:val="24"/>
              </w:rPr>
            </w:pPr>
            <w:r w:rsidRPr="00481F83">
              <w:rPr>
                <w:rFonts w:ascii="Times New Roman" w:eastAsia="Malgun Gothic" w:hAnsi="Times New Roman"/>
                <w:sz w:val="24"/>
              </w:rPr>
              <w:t>207 ± 6.23</w:t>
            </w:r>
          </w:p>
        </w:tc>
      </w:tr>
    </w:tbl>
    <w:p w14:paraId="420B47F3" w14:textId="77777777" w:rsidR="005D7ADE" w:rsidRPr="00C57D6E" w:rsidRDefault="005D7ADE" w:rsidP="005D7ADE">
      <w:pPr>
        <w:spacing w:line="360" w:lineRule="auto"/>
        <w:rPr>
          <w:rFonts w:ascii="Times New Roman" w:hAnsi="Times New Roman"/>
          <w:sz w:val="24"/>
        </w:rPr>
      </w:pPr>
    </w:p>
    <w:p w14:paraId="45D40DB1" w14:textId="77777777" w:rsidR="005D7ADE" w:rsidRPr="00C57D6E" w:rsidRDefault="005D7ADE" w:rsidP="005D7ADE">
      <w:pPr>
        <w:spacing w:line="360" w:lineRule="auto"/>
        <w:rPr>
          <w:rFonts w:cs="Arial"/>
          <w:szCs w:val="20"/>
        </w:rPr>
      </w:pPr>
      <w:r w:rsidRPr="00C57D6E">
        <w:rPr>
          <w:rFonts w:cs="Arial"/>
          <w:b/>
          <w:szCs w:val="20"/>
        </w:rPr>
        <w:t xml:space="preserve">Abbreviations: </w:t>
      </w:r>
      <w:r w:rsidRPr="00C57D6E">
        <w:rPr>
          <w:rFonts w:cs="Arial"/>
          <w:szCs w:val="20"/>
        </w:rPr>
        <w:t xml:space="preserve">PPD, 20(S)-protopanaxadiol; Rx, </w:t>
      </w:r>
      <w:r w:rsidR="00C57D6E" w:rsidRPr="00C57D6E">
        <w:rPr>
          <w:rFonts w:cs="Arial"/>
          <w:szCs w:val="20"/>
        </w:rPr>
        <w:t>NLC formulation</w:t>
      </w:r>
    </w:p>
    <w:p w14:paraId="731E2606" w14:textId="77777777" w:rsidR="005D7ADE" w:rsidRPr="00C57D6E" w:rsidRDefault="005D7ADE" w:rsidP="00EE0017">
      <w:pPr>
        <w:widowControl w:val="0"/>
        <w:rPr>
          <w:rFonts w:cs="Arial"/>
          <w:b/>
          <w:bCs/>
        </w:rPr>
      </w:pPr>
    </w:p>
    <w:p w14:paraId="66A5B581" w14:textId="77777777" w:rsidR="005D7ADE" w:rsidRPr="00C57D6E" w:rsidRDefault="005D7ADE" w:rsidP="00EE0017">
      <w:pPr>
        <w:widowControl w:val="0"/>
        <w:rPr>
          <w:rFonts w:cs="Arial"/>
          <w:b/>
          <w:bCs/>
        </w:rPr>
      </w:pPr>
    </w:p>
    <w:p w14:paraId="7E31037B" w14:textId="77777777" w:rsidR="005D7ADE" w:rsidRPr="00C57D6E" w:rsidRDefault="005D7ADE" w:rsidP="00EE0017">
      <w:pPr>
        <w:widowControl w:val="0"/>
        <w:rPr>
          <w:rFonts w:cs="Arial"/>
          <w:b/>
          <w:bCs/>
        </w:rPr>
      </w:pPr>
    </w:p>
    <w:p w14:paraId="395F7BEC" w14:textId="77777777" w:rsidR="005D7ADE" w:rsidRPr="00C57D6E" w:rsidRDefault="005D7ADE" w:rsidP="00EE0017">
      <w:pPr>
        <w:widowControl w:val="0"/>
        <w:rPr>
          <w:rFonts w:cs="Arial"/>
          <w:b/>
          <w:bCs/>
        </w:rPr>
      </w:pPr>
    </w:p>
    <w:p w14:paraId="1F21D87D" w14:textId="77777777" w:rsidR="005D7ADE" w:rsidRPr="00C57D6E" w:rsidRDefault="005D7ADE" w:rsidP="00EE0017">
      <w:pPr>
        <w:widowControl w:val="0"/>
        <w:rPr>
          <w:rFonts w:cs="Arial"/>
          <w:b/>
          <w:bCs/>
        </w:rPr>
      </w:pPr>
    </w:p>
    <w:p w14:paraId="707AFF63" w14:textId="77777777" w:rsidR="005D7ADE" w:rsidRPr="00C57D6E" w:rsidRDefault="005D7ADE" w:rsidP="00EE0017">
      <w:pPr>
        <w:widowControl w:val="0"/>
        <w:rPr>
          <w:rFonts w:cs="Arial"/>
          <w:b/>
          <w:bCs/>
        </w:rPr>
      </w:pPr>
    </w:p>
    <w:p w14:paraId="39A459D9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7117AE6C" w14:textId="77777777" w:rsidR="005D7ADE" w:rsidRDefault="005D7ADE" w:rsidP="00EE0017">
      <w:pPr>
        <w:widowControl w:val="0"/>
        <w:rPr>
          <w:rFonts w:cs="Arial"/>
          <w:b/>
          <w:bCs/>
        </w:rPr>
      </w:pPr>
    </w:p>
    <w:p w14:paraId="348B6836" w14:textId="77777777" w:rsidR="00FF6EA8" w:rsidRPr="00431388" w:rsidRDefault="00FF6EA8" w:rsidP="00EE0017"/>
    <w:sectPr w:rsidR="00FF6EA8" w:rsidRPr="00431388" w:rsidSect="00F8279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3ED9F" w14:textId="77777777" w:rsidR="00F05707" w:rsidRDefault="00F05707">
      <w:r>
        <w:separator/>
      </w:r>
    </w:p>
  </w:endnote>
  <w:endnote w:type="continuationSeparator" w:id="0">
    <w:p w14:paraId="2C4A3A28" w14:textId="77777777" w:rsidR="00F05707" w:rsidRDefault="00F0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D1030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2B476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4DF41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3C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A5B2F4" w14:textId="77777777" w:rsidR="006C5368" w:rsidRDefault="006C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D4E4B" w14:textId="77777777" w:rsidR="00F05707" w:rsidRDefault="00F05707">
      <w:r>
        <w:separator/>
      </w:r>
    </w:p>
  </w:footnote>
  <w:footnote w:type="continuationSeparator" w:id="0">
    <w:p w14:paraId="39CEC93B" w14:textId="77777777" w:rsidR="00F05707" w:rsidRDefault="00F05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33695"/>
    <w:rsid w:val="000342A0"/>
    <w:rsid w:val="00035CCC"/>
    <w:rsid w:val="00043C1E"/>
    <w:rsid w:val="00043C76"/>
    <w:rsid w:val="0005257A"/>
    <w:rsid w:val="00054361"/>
    <w:rsid w:val="00062025"/>
    <w:rsid w:val="000666AF"/>
    <w:rsid w:val="0007252D"/>
    <w:rsid w:val="0008401B"/>
    <w:rsid w:val="00087F9B"/>
    <w:rsid w:val="000A4388"/>
    <w:rsid w:val="000B2BC9"/>
    <w:rsid w:val="000C59ED"/>
    <w:rsid w:val="000D3E37"/>
    <w:rsid w:val="000E6B48"/>
    <w:rsid w:val="000E7758"/>
    <w:rsid w:val="00117777"/>
    <w:rsid w:val="00127CD5"/>
    <w:rsid w:val="001347DB"/>
    <w:rsid w:val="0017004E"/>
    <w:rsid w:val="00170F20"/>
    <w:rsid w:val="00173279"/>
    <w:rsid w:val="00191F49"/>
    <w:rsid w:val="001A782F"/>
    <w:rsid w:val="001E7479"/>
    <w:rsid w:val="00203209"/>
    <w:rsid w:val="0021553D"/>
    <w:rsid w:val="00217D65"/>
    <w:rsid w:val="00240E76"/>
    <w:rsid w:val="00246A32"/>
    <w:rsid w:val="00270A96"/>
    <w:rsid w:val="00272487"/>
    <w:rsid w:val="00285503"/>
    <w:rsid w:val="00286E82"/>
    <w:rsid w:val="00294CB0"/>
    <w:rsid w:val="002A2D9E"/>
    <w:rsid w:val="002D1A3E"/>
    <w:rsid w:val="003155A1"/>
    <w:rsid w:val="00320521"/>
    <w:rsid w:val="00324666"/>
    <w:rsid w:val="0038573C"/>
    <w:rsid w:val="0038598C"/>
    <w:rsid w:val="0039041E"/>
    <w:rsid w:val="003948EC"/>
    <w:rsid w:val="003A6F39"/>
    <w:rsid w:val="003B4083"/>
    <w:rsid w:val="003B58D7"/>
    <w:rsid w:val="003D69BD"/>
    <w:rsid w:val="00410570"/>
    <w:rsid w:val="00411796"/>
    <w:rsid w:val="00431388"/>
    <w:rsid w:val="0046034F"/>
    <w:rsid w:val="00473BF1"/>
    <w:rsid w:val="004754C9"/>
    <w:rsid w:val="00481F83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5970"/>
    <w:rsid w:val="005D7ADE"/>
    <w:rsid w:val="005E1ECB"/>
    <w:rsid w:val="00600B5C"/>
    <w:rsid w:val="0060400B"/>
    <w:rsid w:val="00611C5F"/>
    <w:rsid w:val="00616A5D"/>
    <w:rsid w:val="0062140C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45C2A"/>
    <w:rsid w:val="00753E6B"/>
    <w:rsid w:val="00776A7C"/>
    <w:rsid w:val="00780A29"/>
    <w:rsid w:val="007900DA"/>
    <w:rsid w:val="00797026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8598F"/>
    <w:rsid w:val="00887016"/>
    <w:rsid w:val="008A08C0"/>
    <w:rsid w:val="008A4036"/>
    <w:rsid w:val="008A52A5"/>
    <w:rsid w:val="008B7AD5"/>
    <w:rsid w:val="008C361E"/>
    <w:rsid w:val="008E3EA8"/>
    <w:rsid w:val="00900663"/>
    <w:rsid w:val="00901244"/>
    <w:rsid w:val="0091401F"/>
    <w:rsid w:val="009147B3"/>
    <w:rsid w:val="009345FC"/>
    <w:rsid w:val="00937F3D"/>
    <w:rsid w:val="00946800"/>
    <w:rsid w:val="009563F4"/>
    <w:rsid w:val="00956C4D"/>
    <w:rsid w:val="009828D3"/>
    <w:rsid w:val="00992CB9"/>
    <w:rsid w:val="009A1F5A"/>
    <w:rsid w:val="009B1D49"/>
    <w:rsid w:val="009D3AD0"/>
    <w:rsid w:val="00A10913"/>
    <w:rsid w:val="00A20FFB"/>
    <w:rsid w:val="00A3756A"/>
    <w:rsid w:val="00A445D7"/>
    <w:rsid w:val="00A6170F"/>
    <w:rsid w:val="00A63CD7"/>
    <w:rsid w:val="00A70251"/>
    <w:rsid w:val="00AB389E"/>
    <w:rsid w:val="00AB47E4"/>
    <w:rsid w:val="00AC1F93"/>
    <w:rsid w:val="00AC5480"/>
    <w:rsid w:val="00AD76B0"/>
    <w:rsid w:val="00AE5062"/>
    <w:rsid w:val="00B26A6E"/>
    <w:rsid w:val="00B30BC3"/>
    <w:rsid w:val="00B54884"/>
    <w:rsid w:val="00B7570E"/>
    <w:rsid w:val="00B82724"/>
    <w:rsid w:val="00B86FEB"/>
    <w:rsid w:val="00B96017"/>
    <w:rsid w:val="00BB027B"/>
    <w:rsid w:val="00BC20E4"/>
    <w:rsid w:val="00C43B3D"/>
    <w:rsid w:val="00C548FC"/>
    <w:rsid w:val="00C57D6E"/>
    <w:rsid w:val="00C701F9"/>
    <w:rsid w:val="00CB0023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94F22"/>
    <w:rsid w:val="00DB0A0D"/>
    <w:rsid w:val="00DE5F42"/>
    <w:rsid w:val="00DF4C7F"/>
    <w:rsid w:val="00DF6A1F"/>
    <w:rsid w:val="00E031E1"/>
    <w:rsid w:val="00E1216B"/>
    <w:rsid w:val="00E45ED2"/>
    <w:rsid w:val="00E96D45"/>
    <w:rsid w:val="00ED4D96"/>
    <w:rsid w:val="00EE0017"/>
    <w:rsid w:val="00EE2FBA"/>
    <w:rsid w:val="00EF1BC8"/>
    <w:rsid w:val="00F03012"/>
    <w:rsid w:val="00F05707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9F2D23"/>
  <w15:chartTrackingRefBased/>
  <w15:docId w15:val="{2C6CA6C3-1049-4410-9789-290A5009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155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1553D"/>
    <w:rPr>
      <w:rFonts w:ascii="Arial" w:hAnsi="Arial"/>
      <w:szCs w:val="24"/>
      <w:lang w:eastAsia="en-US"/>
    </w:rPr>
  </w:style>
  <w:style w:type="table" w:styleId="TableGrid">
    <w:name w:val="Table Grid"/>
    <w:basedOn w:val="TableNormal"/>
    <w:uiPriority w:val="59"/>
    <w:rsid w:val="005D7ADE"/>
    <w:rPr>
      <w:rFonts w:ascii="Malgun Gothic" w:eastAsia="Malgun Gothic" w:hAnsi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TableNormal"/>
    <w:next w:val="TableGrid"/>
    <w:uiPriority w:val="59"/>
    <w:rsid w:val="005D7ADE"/>
    <w:rPr>
      <w:rFonts w:ascii="Malgun Gothic" w:eastAsia="Malgun Gothic" w:hAnsi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The contraceptive implant</vt:lpstr>
      <vt:lpstr>The contraceptive implant</vt:lpstr>
    </vt:vector>
  </TitlesOfParts>
  <Company>UPMC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subject/>
  <dc:creator>hohmhl</dc:creator>
  <cp:keywords/>
  <cp:lastModifiedBy>Patel, Sonam Kajal</cp:lastModifiedBy>
  <cp:revision>2</cp:revision>
  <cp:lastPrinted>2009-01-08T01:57:00Z</cp:lastPrinted>
  <dcterms:created xsi:type="dcterms:W3CDTF">2019-09-26T01:32:00Z</dcterms:created>
  <dcterms:modified xsi:type="dcterms:W3CDTF">2019-09-26T01:32:00Z</dcterms:modified>
</cp:coreProperties>
</file>