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54B7F" w14:textId="45A50F97" w:rsidR="007E1971" w:rsidRPr="007E1971" w:rsidRDefault="007E1971">
      <w:pPr>
        <w:rPr>
          <w:b/>
          <w:bCs/>
          <w:noProof/>
        </w:rPr>
      </w:pPr>
      <w:r w:rsidRPr="007E1971">
        <w:rPr>
          <w:b/>
          <w:bCs/>
          <w:noProof/>
        </w:rPr>
        <w:t>Supplementary Figures</w:t>
      </w:r>
    </w:p>
    <w:p w14:paraId="6F4C1D96" w14:textId="77777777" w:rsidR="008C42E1" w:rsidRDefault="007E1971">
      <w:r>
        <w:rPr>
          <w:noProof/>
        </w:rPr>
        <w:drawing>
          <wp:inline distT="0" distB="0" distL="0" distR="0" wp14:anchorId="234AEA7D" wp14:editId="241A0212">
            <wp:extent cx="4452359" cy="33337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80" cy="333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17E69F" w14:textId="77777777" w:rsidR="008C42E1" w:rsidRPr="00D57B36" w:rsidRDefault="008C42E1" w:rsidP="008C42E1">
      <w:pPr>
        <w:spacing w:line="480" w:lineRule="auto"/>
      </w:pPr>
      <w:r w:rsidRPr="00596F47">
        <w:rPr>
          <w:b/>
        </w:rPr>
        <w:t>Supplemental Figure 1</w:t>
      </w:r>
      <w:r w:rsidRPr="00D57B36">
        <w:rPr>
          <w:rFonts w:hint="eastAsia"/>
          <w:b/>
        </w:rPr>
        <w:t xml:space="preserve"> </w:t>
      </w:r>
      <w:r w:rsidRPr="00D57B36">
        <w:rPr>
          <w:bCs/>
        </w:rPr>
        <w:t xml:space="preserve">Effect of DEX administration 1-2 </w:t>
      </w:r>
      <w:proofErr w:type="spellStart"/>
      <w:r w:rsidRPr="00D57B36">
        <w:rPr>
          <w:bCs/>
        </w:rPr>
        <w:t>hrs</w:t>
      </w:r>
      <w:proofErr w:type="spellEnd"/>
      <w:r w:rsidRPr="00D57B36">
        <w:rPr>
          <w:bCs/>
        </w:rPr>
        <w:t xml:space="preserve"> after PARA exposure</w:t>
      </w:r>
      <w:r w:rsidRPr="00D57B36">
        <w:t xml:space="preserve">. </w:t>
      </w:r>
    </w:p>
    <w:p w14:paraId="6DF74796" w14:textId="77777777" w:rsidR="008C42E1" w:rsidRPr="00D57B36" w:rsidRDefault="008C42E1" w:rsidP="008C42E1">
      <w:pPr>
        <w:spacing w:line="480" w:lineRule="auto"/>
        <w:jc w:val="both"/>
      </w:pPr>
      <w:r w:rsidRPr="00D57B36">
        <w:t xml:space="preserve">Mice were intraperitoneally administered PARA (300 mg/kg) and DEX (25 </w:t>
      </w:r>
      <w:proofErr w:type="spellStart"/>
      <w:r w:rsidRPr="00D57B36">
        <w:t>μg</w:t>
      </w:r>
      <w:proofErr w:type="spellEnd"/>
      <w:r w:rsidRPr="00D57B36">
        <w:t xml:space="preserve">/kg) was given 0.5, 1, and 2 </w:t>
      </w:r>
      <w:proofErr w:type="spellStart"/>
      <w:r w:rsidRPr="00D57B36">
        <w:t>hrs</w:t>
      </w:r>
      <w:proofErr w:type="spellEnd"/>
      <w:r w:rsidRPr="00D57B36">
        <w:t xml:space="preserve"> after injection of PARA. Then mice were sacrificed 16 </w:t>
      </w:r>
      <w:proofErr w:type="spellStart"/>
      <w:r w:rsidRPr="00D57B36">
        <w:t>hrs</w:t>
      </w:r>
      <w:proofErr w:type="spellEnd"/>
      <w:r w:rsidRPr="00D57B36">
        <w:t xml:space="preserve"> later for assessment of serum ALT levels. Results are presented as the mean ± SEM; n = 6 mice per group. *</w:t>
      </w:r>
      <w:r w:rsidRPr="00D57B36">
        <w:rPr>
          <w:i/>
          <w:iCs/>
        </w:rPr>
        <w:t>p</w:t>
      </w:r>
      <w:r w:rsidRPr="00D57B36">
        <w:rPr>
          <w:iCs/>
        </w:rPr>
        <w:t xml:space="preserve"> </w:t>
      </w:r>
      <w:r w:rsidRPr="00D57B36">
        <w:t xml:space="preserve">&lt; 0.05 </w:t>
      </w:r>
      <w:r w:rsidRPr="00D57B36">
        <w:rPr>
          <w:iCs/>
        </w:rPr>
        <w:t xml:space="preserve">vs. </w:t>
      </w:r>
      <w:r w:rsidRPr="00D57B36">
        <w:t xml:space="preserve">control; </w:t>
      </w:r>
      <w:r w:rsidRPr="00F70560">
        <w:rPr>
          <w:vertAlign w:val="superscript"/>
        </w:rPr>
        <w:t>#</w:t>
      </w:r>
      <w:r w:rsidRPr="00D57B36">
        <w:rPr>
          <w:i/>
          <w:iCs/>
        </w:rPr>
        <w:t>p</w:t>
      </w:r>
      <w:r w:rsidRPr="00D57B36">
        <w:rPr>
          <w:iCs/>
        </w:rPr>
        <w:t xml:space="preserve"> &lt; </w:t>
      </w:r>
      <w:r w:rsidRPr="00D57B36">
        <w:t xml:space="preserve">0.05 </w:t>
      </w:r>
      <w:r w:rsidRPr="00D57B36">
        <w:rPr>
          <w:iCs/>
        </w:rPr>
        <w:t xml:space="preserve">vs. </w:t>
      </w:r>
      <w:r w:rsidRPr="00D57B36">
        <w:t>PARA alone.</w:t>
      </w:r>
    </w:p>
    <w:p w14:paraId="42823FED" w14:textId="77777777" w:rsidR="008C42E1" w:rsidRPr="00D57B36" w:rsidRDefault="008C42E1" w:rsidP="008C42E1">
      <w:pPr>
        <w:spacing w:line="480" w:lineRule="auto"/>
        <w:rPr>
          <w:b/>
        </w:rPr>
      </w:pPr>
    </w:p>
    <w:p w14:paraId="19DB3972" w14:textId="345782D0" w:rsidR="008C42E1" w:rsidRPr="00D57B36" w:rsidRDefault="008C42E1" w:rsidP="008C42E1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7B1CE9D0" wp14:editId="00ED8D6F">
            <wp:extent cx="4755515" cy="3560445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795CC" w14:textId="77777777" w:rsidR="008C42E1" w:rsidRPr="00D57B36" w:rsidRDefault="008C42E1" w:rsidP="008C42E1">
      <w:pPr>
        <w:spacing w:line="480" w:lineRule="auto"/>
        <w:rPr>
          <w:b/>
        </w:rPr>
      </w:pPr>
    </w:p>
    <w:p w14:paraId="117A5C40" w14:textId="77777777" w:rsidR="008C42E1" w:rsidRPr="00D57B36" w:rsidRDefault="008C42E1" w:rsidP="008C42E1">
      <w:pPr>
        <w:autoSpaceDE w:val="0"/>
        <w:autoSpaceDN w:val="0"/>
        <w:adjustRightInd w:val="0"/>
        <w:spacing w:line="480" w:lineRule="auto"/>
        <w:rPr>
          <w:rFonts w:eastAsia="PMingLiU"/>
        </w:rPr>
      </w:pPr>
      <w:r w:rsidRPr="00D57B36">
        <w:rPr>
          <w:b/>
        </w:rPr>
        <w:t xml:space="preserve">Supplemental Figure </w:t>
      </w:r>
      <w:r w:rsidRPr="00D57B36">
        <w:rPr>
          <w:rFonts w:hint="eastAsia"/>
          <w:b/>
        </w:rPr>
        <w:t xml:space="preserve">2 </w:t>
      </w:r>
      <w:r w:rsidRPr="00D57B36">
        <w:rPr>
          <w:rFonts w:hint="eastAsia"/>
          <w:iCs/>
        </w:rPr>
        <w:t xml:space="preserve">Effect of </w:t>
      </w:r>
      <w:r w:rsidRPr="00D57B36">
        <w:rPr>
          <w:rFonts w:hint="eastAsia"/>
          <w:bCs/>
        </w:rPr>
        <w:t>PARA</w:t>
      </w:r>
      <w:r w:rsidRPr="00D57B36">
        <w:rPr>
          <w:bCs/>
        </w:rPr>
        <w:t xml:space="preserve">-induced liver </w:t>
      </w:r>
      <w:r w:rsidRPr="00D57B36">
        <w:rPr>
          <w:rFonts w:hint="eastAsia"/>
          <w:bCs/>
        </w:rPr>
        <w:t>toxicity</w:t>
      </w:r>
      <w:r w:rsidRPr="00D57B36">
        <w:rPr>
          <w:bCs/>
        </w:rPr>
        <w:t>-related histology</w:t>
      </w:r>
      <w:r w:rsidRPr="00D57B36">
        <w:t xml:space="preserve"> </w:t>
      </w:r>
      <w:r w:rsidRPr="00D57B36">
        <w:rPr>
          <w:rFonts w:hint="eastAsia"/>
        </w:rPr>
        <w:t xml:space="preserve">for early time points compared to late time point. </w:t>
      </w:r>
      <w:r w:rsidRPr="00D57B36">
        <w:t xml:space="preserve">Mice were </w:t>
      </w:r>
      <w:r w:rsidRPr="00D57B36">
        <w:rPr>
          <w:rFonts w:hint="eastAsia"/>
        </w:rPr>
        <w:t xml:space="preserve">intraperitoneally </w:t>
      </w:r>
      <w:r w:rsidRPr="00D57B36">
        <w:t>administered saline</w:t>
      </w:r>
      <w:r w:rsidRPr="00D57B36">
        <w:rPr>
          <w:rFonts w:hint="eastAsia"/>
        </w:rPr>
        <w:t xml:space="preserve"> (control)</w:t>
      </w:r>
      <w:r w:rsidRPr="00D57B36">
        <w:t xml:space="preserve">, </w:t>
      </w:r>
      <w:r w:rsidRPr="00D57B36">
        <w:rPr>
          <w:rFonts w:hint="eastAsia"/>
        </w:rPr>
        <w:t>PARA</w:t>
      </w:r>
      <w:r w:rsidRPr="00D57B36">
        <w:t xml:space="preserve"> (300 mg/kg) </w:t>
      </w:r>
      <w:r w:rsidRPr="00D57B36">
        <w:rPr>
          <w:rFonts w:hint="eastAsia"/>
        </w:rPr>
        <w:t xml:space="preserve">and </w:t>
      </w:r>
      <w:r w:rsidRPr="00D57B36">
        <w:t>were sacri</w:t>
      </w:r>
      <w:r w:rsidRPr="00D57B36">
        <w:rPr>
          <w:rFonts w:eastAsia="AdvOTf9433e2d+fb"/>
        </w:rPr>
        <w:t>fi</w:t>
      </w:r>
      <w:r w:rsidRPr="00D57B36">
        <w:t xml:space="preserve">ced </w:t>
      </w:r>
      <w:r w:rsidRPr="00D57B36">
        <w:rPr>
          <w:rFonts w:hint="eastAsia"/>
        </w:rPr>
        <w:t xml:space="preserve">2, 4, and </w:t>
      </w:r>
      <w:r w:rsidRPr="00D57B36">
        <w:t xml:space="preserve">16 </w:t>
      </w:r>
      <w:proofErr w:type="spellStart"/>
      <w:r w:rsidRPr="00D57B36">
        <w:t>h</w:t>
      </w:r>
      <w:r w:rsidRPr="00D57B36">
        <w:rPr>
          <w:rFonts w:hint="eastAsia"/>
        </w:rPr>
        <w:t>rs</w:t>
      </w:r>
      <w:proofErr w:type="spellEnd"/>
      <w:r w:rsidRPr="00D57B36">
        <w:rPr>
          <w:rFonts w:hint="eastAsia"/>
        </w:rPr>
        <w:t xml:space="preserve"> later </w:t>
      </w:r>
      <w:r w:rsidRPr="00D57B36">
        <w:t>for H&amp;E staining</w:t>
      </w:r>
      <w:r w:rsidRPr="00D57B36">
        <w:rPr>
          <w:rFonts w:hint="eastAsia"/>
        </w:rPr>
        <w:t xml:space="preserve"> (200x)</w:t>
      </w:r>
      <w:r w:rsidRPr="00D57B36">
        <w:t>.</w:t>
      </w:r>
      <w:r w:rsidRPr="00D57B36">
        <w:rPr>
          <w:rFonts w:hint="eastAsia"/>
        </w:rPr>
        <w:t xml:space="preserve"> </w:t>
      </w:r>
      <w:r w:rsidRPr="00D57B36">
        <w:t>Typical images were chosen from each group</w:t>
      </w:r>
      <w:r w:rsidRPr="00D57B36">
        <w:rPr>
          <w:rFonts w:hint="eastAsia"/>
        </w:rPr>
        <w:t>.</w:t>
      </w:r>
    </w:p>
    <w:p w14:paraId="1E31AC03" w14:textId="112D1837" w:rsidR="008C42E1" w:rsidRPr="00D57B36" w:rsidRDefault="00F70560" w:rsidP="008C42E1">
      <w:pPr>
        <w:spacing w:line="48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2AE15F5A" wp14:editId="54E487A0">
            <wp:extent cx="4757664" cy="35623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119" cy="356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C1BC" w14:textId="77777777" w:rsidR="008C42E1" w:rsidRPr="00D57B36" w:rsidRDefault="008C42E1" w:rsidP="008C42E1">
      <w:pPr>
        <w:pStyle w:val="Heading1"/>
        <w:shd w:val="clear" w:color="auto" w:fill="FFFFFF"/>
        <w:spacing w:before="0" w:beforeAutospacing="0" w:after="0" w:afterAutospacing="0" w:line="48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57B36">
        <w:rPr>
          <w:rFonts w:ascii="Times New Roman" w:hAnsi="Times New Roman" w:cs="Times New Roman"/>
          <w:sz w:val="24"/>
          <w:szCs w:val="24"/>
        </w:rPr>
        <w:t xml:space="preserve">Supplemental Figure </w:t>
      </w:r>
      <w:r w:rsidRPr="00D57B36">
        <w:rPr>
          <w:rFonts w:ascii="Times New Roman" w:eastAsiaTheme="minorEastAsia" w:hAnsi="Times New Roman" w:cs="Times New Roman" w:hint="eastAsia"/>
          <w:sz w:val="24"/>
          <w:szCs w:val="24"/>
        </w:rPr>
        <w:t>3</w:t>
      </w:r>
      <w:r w:rsidRPr="00D57B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57B36">
        <w:rPr>
          <w:rFonts w:ascii="Times New Roman" w:eastAsiaTheme="minorEastAsia" w:hAnsi="Times New Roman" w:cs="Times New Roman"/>
          <w:b w:val="0"/>
          <w:iCs/>
          <w:kern w:val="0"/>
          <w:sz w:val="24"/>
          <w:szCs w:val="24"/>
        </w:rPr>
        <w:t xml:space="preserve">Western blot analysis </w:t>
      </w:r>
      <w:r w:rsidRPr="00D57B36">
        <w:rPr>
          <w:rFonts w:ascii="Times New Roman" w:hAnsi="Times New Roman" w:cs="Times New Roman"/>
          <w:b w:val="0"/>
          <w:bCs w:val="0"/>
          <w:sz w:val="24"/>
          <w:szCs w:val="24"/>
        </w:rPr>
        <w:t>of phosphorylated JNK protein expression</w:t>
      </w:r>
      <w:r w:rsidRPr="00D57B36">
        <w:rPr>
          <w:rFonts w:ascii="Times New Roman" w:hAnsi="Times New Roman" w:cs="Times New Roman" w:hint="eastAsia"/>
          <w:b w:val="0"/>
          <w:bCs w:val="0"/>
          <w:sz w:val="24"/>
          <w:szCs w:val="24"/>
        </w:rPr>
        <w:t xml:space="preserve"> </w:t>
      </w:r>
      <w:r w:rsidRPr="00D57B36">
        <w:rPr>
          <w:rFonts w:ascii="Times New Roman" w:eastAsiaTheme="minorEastAsia" w:hAnsi="Times New Roman" w:cs="Times New Roman"/>
          <w:b w:val="0"/>
          <w:iCs/>
          <w:kern w:val="0"/>
          <w:sz w:val="24"/>
          <w:szCs w:val="24"/>
        </w:rPr>
        <w:t xml:space="preserve">in early time points </w:t>
      </w:r>
      <w:r w:rsidRPr="00D57B36">
        <w:rPr>
          <w:rFonts w:ascii="Times New Roman" w:hAnsi="Times New Roman" w:cs="Times New Roman"/>
          <w:b w:val="0"/>
          <w:sz w:val="24"/>
          <w:szCs w:val="24"/>
        </w:rPr>
        <w:t>PARA-induced liver toxicity compared to late time point. Mice were intraperitoneally administered</w:t>
      </w:r>
      <w:r w:rsidRPr="00D57B36">
        <w:rPr>
          <w:rFonts w:ascii="Times New Roman" w:hAnsi="Times New Roman" w:cs="Times New Roman" w:hint="eastAsia"/>
          <w:b w:val="0"/>
          <w:sz w:val="24"/>
          <w:szCs w:val="24"/>
        </w:rPr>
        <w:t xml:space="preserve"> </w:t>
      </w:r>
      <w:r w:rsidRPr="00D57B36">
        <w:rPr>
          <w:rFonts w:ascii="Times New Roman" w:hAnsi="Times New Roman" w:cs="Times New Roman"/>
          <w:b w:val="0"/>
          <w:sz w:val="24"/>
          <w:szCs w:val="24"/>
        </w:rPr>
        <w:t xml:space="preserve">saline (control), PARA (300 mg/kg) and </w:t>
      </w:r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>were sacri</w:t>
      </w:r>
      <w:r w:rsidRPr="00D57B36">
        <w:rPr>
          <w:rFonts w:ascii="Times New Roman" w:eastAsia="AdvOTf9433e2d+fb" w:hAnsi="Times New Roman" w:cs="Times New Roman"/>
          <w:b w:val="0"/>
          <w:kern w:val="0"/>
          <w:sz w:val="24"/>
          <w:szCs w:val="24"/>
        </w:rPr>
        <w:t>fi</w:t>
      </w:r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ced 2, 4, and 16 </w:t>
      </w:r>
      <w:proofErr w:type="spellStart"/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>hrs</w:t>
      </w:r>
      <w:proofErr w:type="spellEnd"/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later </w:t>
      </w:r>
      <w:r w:rsidRPr="00D57B36">
        <w:rPr>
          <w:rFonts w:ascii="Times New Roman" w:hAnsi="Times New Roman" w:cs="Times New Roman"/>
          <w:b w:val="0"/>
          <w:sz w:val="24"/>
          <w:szCs w:val="24"/>
        </w:rPr>
        <w:t xml:space="preserve">for JNK and p-JNK protein expression. </w:t>
      </w:r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Blots were </w:t>
      </w:r>
      <w:proofErr w:type="spellStart"/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>reprobed</w:t>
      </w:r>
      <w:proofErr w:type="spellEnd"/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 xml:space="preserve"> for </w:t>
      </w:r>
      <w:r w:rsidRPr="00D57B36">
        <w:rPr>
          <w:rFonts w:ascii="Times New Roman" w:eastAsia="AdvTT5843c571+03" w:hAnsi="Times New Roman" w:cs="Times New Roman"/>
          <w:b w:val="0"/>
          <w:kern w:val="0"/>
          <w:sz w:val="24"/>
          <w:szCs w:val="24"/>
        </w:rPr>
        <w:t>β</w:t>
      </w:r>
      <w:r w:rsidRPr="00D57B36">
        <w:rPr>
          <w:rFonts w:ascii="Times New Roman" w:hAnsi="Times New Roman" w:cs="Times New Roman"/>
          <w:b w:val="0"/>
          <w:kern w:val="0"/>
          <w:sz w:val="24"/>
          <w:szCs w:val="24"/>
        </w:rPr>
        <w:t>-actin to ensure equal protein loading in all lanes.</w:t>
      </w:r>
    </w:p>
    <w:p w14:paraId="1C35308D" w14:textId="77777777" w:rsidR="008C42E1" w:rsidRPr="00D57B36" w:rsidRDefault="008C42E1" w:rsidP="008C42E1">
      <w:pPr>
        <w:spacing w:line="480" w:lineRule="auto"/>
        <w:rPr>
          <w:b/>
        </w:rPr>
      </w:pPr>
    </w:p>
    <w:p w14:paraId="3EAA232E" w14:textId="6FC84ABA" w:rsidR="007E1971" w:rsidRDefault="007E1971"/>
    <w:sectPr w:rsidR="007E19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f9433e2d+fb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vTT5843c571+0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971"/>
    <w:rsid w:val="001A1821"/>
    <w:rsid w:val="007E1971"/>
    <w:rsid w:val="008C42E1"/>
    <w:rsid w:val="00ED0C7A"/>
    <w:rsid w:val="00F7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0506C"/>
  <w15:chartTrackingRefBased/>
  <w15:docId w15:val="{26E32576-B173-4B0F-AB3C-17F47D02B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C42E1"/>
    <w:pPr>
      <w:spacing w:before="100" w:beforeAutospacing="1" w:after="100" w:afterAutospacing="1" w:line="240" w:lineRule="auto"/>
      <w:outlineLvl w:val="0"/>
    </w:pPr>
    <w:rPr>
      <w:rFonts w:ascii="PMingLiU" w:eastAsia="PMingLiU" w:hAnsi="PMingLiU" w:cs="PMingLiU"/>
      <w:b/>
      <w:bCs/>
      <w:kern w:val="36"/>
      <w:sz w:val="48"/>
      <w:szCs w:val="48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C7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C42E1"/>
    <w:rPr>
      <w:rFonts w:ascii="PMingLiU" w:eastAsia="PMingLiU" w:hAnsi="PMingLiU" w:cs="PMingLiU"/>
      <w:b/>
      <w:bCs/>
      <w:kern w:val="36"/>
      <w:sz w:val="48"/>
      <w:szCs w:val="4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536DED6900DD47899D0B77D5E5CBC5" ma:contentTypeVersion="10" ma:contentTypeDescription="Create a new document." ma:contentTypeScope="" ma:versionID="5c51560da207b88003c1641b6f8deb40">
  <xsd:schema xmlns:xsd="http://www.w3.org/2001/XMLSchema" xmlns:xs="http://www.w3.org/2001/XMLSchema" xmlns:p="http://schemas.microsoft.com/office/2006/metadata/properties" xmlns:ns3="4f82012e-2831-4eb1-8217-fe5478c5adc8" targetNamespace="http://schemas.microsoft.com/office/2006/metadata/properties" ma:root="true" ma:fieldsID="698975cffeab2d56becc0e2696a3b159" ns3:_="">
    <xsd:import namespace="4f82012e-2831-4eb1-8217-fe5478c5ad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2012e-2831-4eb1-8217-fe5478c5a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FD841B-4893-4690-B50F-968FF02AE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82012e-2831-4eb1-8217-fe5478c5a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D25190-D5AF-4F32-8AB2-FB7847FB2B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F61A43-7621-4CA6-88DF-BA609557EC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Hodgkinson</dc:creator>
  <cp:keywords/>
  <dc:description/>
  <cp:lastModifiedBy>Natasha Hodgkinson</cp:lastModifiedBy>
  <cp:revision>3</cp:revision>
  <dcterms:created xsi:type="dcterms:W3CDTF">2019-10-04T01:04:00Z</dcterms:created>
  <dcterms:modified xsi:type="dcterms:W3CDTF">2019-10-04T01:52:00Z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0x01010048536DED6900DD47899D0B77D5E5CBC5</vt:lpwstr>
  </property>
</Properties>
</file>