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D8B1C" w14:textId="77777777" w:rsidR="00D75F34" w:rsidRPr="00E0379E" w:rsidRDefault="00D75F34" w:rsidP="00D75F34">
      <w:pPr>
        <w:spacing w:beforeLines="60" w:before="144" w:afterLines="60" w:after="144"/>
        <w:ind w:hanging="99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>Supplementary Table 1</w:t>
      </w:r>
      <w:r w:rsidRPr="00E0379E">
        <w:rPr>
          <w:rFonts w:ascii="Arial" w:hAnsi="Arial" w:cs="Arial"/>
          <w:b/>
        </w:rPr>
        <w:t>.</w:t>
      </w:r>
      <w:r w:rsidRPr="00E0379E">
        <w:rPr>
          <w:rFonts w:ascii="Arial" w:hAnsi="Arial" w:cs="Arial"/>
        </w:rPr>
        <w:t xml:space="preserve"> Pharmacological medications taken by patients in this study</w:t>
      </w:r>
    </w:p>
    <w:tbl>
      <w:tblPr>
        <w:tblStyle w:val="TableGrid"/>
        <w:tblpPr w:leftFromText="180" w:rightFromText="180" w:vertAnchor="text" w:horzAnchor="margin" w:tblpX="-882" w:tblpY="312"/>
        <w:tblW w:w="11268" w:type="dxa"/>
        <w:tblLook w:val="04A0" w:firstRow="1" w:lastRow="0" w:firstColumn="1" w:lastColumn="0" w:noHBand="0" w:noVBand="1"/>
      </w:tblPr>
      <w:tblGrid>
        <w:gridCol w:w="2358"/>
        <w:gridCol w:w="2340"/>
        <w:gridCol w:w="5040"/>
        <w:gridCol w:w="1530"/>
      </w:tblGrid>
      <w:tr w:rsidR="00D75F34" w:rsidRPr="00E0379E" w14:paraId="01913DBA" w14:textId="77777777" w:rsidTr="00BF6ABD">
        <w:tc>
          <w:tcPr>
            <w:tcW w:w="2358" w:type="dxa"/>
            <w:shd w:val="clear" w:color="auto" w:fill="3333CC"/>
          </w:tcPr>
          <w:p w14:paraId="47EE83D1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  <w:b/>
                <w:color w:val="FFFFFF" w:themeColor="background1"/>
              </w:rPr>
            </w:pPr>
            <w:r w:rsidRPr="00E0379E">
              <w:rPr>
                <w:rFonts w:ascii="Arial" w:hAnsi="Arial" w:cs="Arial"/>
                <w:b/>
                <w:color w:val="FFFFFF" w:themeColor="background1"/>
              </w:rPr>
              <w:t>Clinical phenotype</w:t>
            </w:r>
          </w:p>
        </w:tc>
        <w:tc>
          <w:tcPr>
            <w:tcW w:w="2340" w:type="dxa"/>
            <w:shd w:val="clear" w:color="auto" w:fill="3333CC"/>
          </w:tcPr>
          <w:p w14:paraId="2443D02E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  <w:b/>
                <w:color w:val="FFFFFF" w:themeColor="background1"/>
              </w:rPr>
            </w:pPr>
            <w:r w:rsidRPr="00E0379E">
              <w:rPr>
                <w:rFonts w:ascii="Arial" w:hAnsi="Arial" w:cs="Arial"/>
                <w:b/>
                <w:color w:val="FFFFFF" w:themeColor="background1"/>
              </w:rPr>
              <w:t>Pharmaco-therapy</w:t>
            </w:r>
          </w:p>
        </w:tc>
        <w:tc>
          <w:tcPr>
            <w:tcW w:w="5040" w:type="dxa"/>
            <w:shd w:val="clear" w:color="auto" w:fill="3333CC"/>
          </w:tcPr>
          <w:p w14:paraId="589633B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  <w:b/>
                <w:color w:val="FFFFFF" w:themeColor="background1"/>
              </w:rPr>
            </w:pPr>
            <w:r w:rsidRPr="00E0379E">
              <w:rPr>
                <w:rFonts w:ascii="Arial" w:hAnsi="Arial" w:cs="Arial"/>
                <w:b/>
                <w:color w:val="FFFFFF" w:themeColor="background1"/>
              </w:rPr>
              <w:t>Mechanism of action</w:t>
            </w:r>
          </w:p>
        </w:tc>
        <w:tc>
          <w:tcPr>
            <w:tcW w:w="1530" w:type="dxa"/>
            <w:shd w:val="clear" w:color="auto" w:fill="3333CC"/>
          </w:tcPr>
          <w:p w14:paraId="154B3732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  <w:b/>
                <w:color w:val="FFFFFF" w:themeColor="background1"/>
              </w:rPr>
            </w:pPr>
            <w:r w:rsidRPr="00E0379E">
              <w:rPr>
                <w:rFonts w:ascii="Arial" w:hAnsi="Arial" w:cs="Arial"/>
                <w:b/>
                <w:color w:val="FFFFFF" w:themeColor="background1"/>
              </w:rPr>
              <w:t xml:space="preserve">No. of patients </w:t>
            </w:r>
          </w:p>
        </w:tc>
      </w:tr>
      <w:tr w:rsidR="00D75F34" w:rsidRPr="00E0379E" w14:paraId="0AED22B2" w14:textId="77777777" w:rsidTr="00BF6ABD">
        <w:tc>
          <w:tcPr>
            <w:tcW w:w="2358" w:type="dxa"/>
          </w:tcPr>
          <w:p w14:paraId="3BF9C3C4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Parkinson’s disease</w:t>
            </w:r>
          </w:p>
        </w:tc>
        <w:tc>
          <w:tcPr>
            <w:tcW w:w="2340" w:type="dxa"/>
          </w:tcPr>
          <w:p w14:paraId="77D7FCB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Levodopa</w:t>
            </w:r>
          </w:p>
          <w:p w14:paraId="3406B480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Carbidopa</w:t>
            </w:r>
          </w:p>
          <w:p w14:paraId="00475903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Pramipexol</w:t>
            </w:r>
          </w:p>
        </w:tc>
        <w:tc>
          <w:tcPr>
            <w:tcW w:w="5040" w:type="dxa"/>
          </w:tcPr>
          <w:p w14:paraId="4C2E78A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precursor</w:t>
            </w:r>
          </w:p>
          <w:p w14:paraId="2DD7206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 decarboxylase inhibitor</w:t>
            </w:r>
          </w:p>
          <w:p w14:paraId="31028B60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agonist</w:t>
            </w:r>
          </w:p>
        </w:tc>
        <w:tc>
          <w:tcPr>
            <w:tcW w:w="1530" w:type="dxa"/>
          </w:tcPr>
          <w:p w14:paraId="49A99CB2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13</w:t>
            </w:r>
          </w:p>
        </w:tc>
      </w:tr>
      <w:tr w:rsidR="00D75F34" w:rsidRPr="00E0379E" w14:paraId="546DDD0D" w14:textId="77777777" w:rsidTr="00BF6ABD">
        <w:tc>
          <w:tcPr>
            <w:tcW w:w="2358" w:type="dxa"/>
          </w:tcPr>
          <w:p w14:paraId="4658CBD3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Parkinson’s disease</w:t>
            </w:r>
          </w:p>
        </w:tc>
        <w:tc>
          <w:tcPr>
            <w:tcW w:w="2340" w:type="dxa"/>
          </w:tcPr>
          <w:p w14:paraId="57902A3A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Levodopa</w:t>
            </w:r>
          </w:p>
          <w:p w14:paraId="50B0E55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Carbidopa</w:t>
            </w:r>
          </w:p>
          <w:p w14:paraId="2D5AEE28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E0379E">
              <w:rPr>
                <w:rFonts w:ascii="Arial" w:hAnsi="Arial" w:cs="Arial"/>
              </w:rPr>
              <w:t>Rasagiline</w:t>
            </w:r>
            <w:proofErr w:type="spellEnd"/>
            <w:r w:rsidRPr="00E0379E">
              <w:rPr>
                <w:rFonts w:ascii="Arial" w:hAnsi="Arial" w:cs="Arial"/>
              </w:rPr>
              <w:t xml:space="preserve"> </w:t>
            </w:r>
          </w:p>
          <w:p w14:paraId="146F4D2D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Ropinirole</w:t>
            </w:r>
          </w:p>
        </w:tc>
        <w:tc>
          <w:tcPr>
            <w:tcW w:w="5040" w:type="dxa"/>
          </w:tcPr>
          <w:p w14:paraId="0CF06642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precursor</w:t>
            </w:r>
          </w:p>
          <w:p w14:paraId="7D8F9A3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 decarboxylase inhibitor</w:t>
            </w:r>
          </w:p>
          <w:p w14:paraId="091BF837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prevent</w:t>
            </w:r>
            <w:r>
              <w:rPr>
                <w:rFonts w:ascii="Arial" w:hAnsi="Arial" w:cs="Arial"/>
              </w:rPr>
              <w:t>s</w:t>
            </w:r>
            <w:r w:rsidRPr="00E0379E">
              <w:rPr>
                <w:rFonts w:ascii="Arial" w:hAnsi="Arial" w:cs="Arial"/>
              </w:rPr>
              <w:t xml:space="preserve"> dopamine breakdown</w:t>
            </w:r>
          </w:p>
          <w:p w14:paraId="110E0D5B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stimulates post-synaptic D2 dopamine receptors</w:t>
            </w:r>
          </w:p>
        </w:tc>
        <w:tc>
          <w:tcPr>
            <w:tcW w:w="1530" w:type="dxa"/>
          </w:tcPr>
          <w:p w14:paraId="63231873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4</w:t>
            </w:r>
          </w:p>
        </w:tc>
      </w:tr>
      <w:tr w:rsidR="00D75F34" w:rsidRPr="00E0379E" w14:paraId="390E6E22" w14:textId="77777777" w:rsidTr="00BF6ABD">
        <w:tc>
          <w:tcPr>
            <w:tcW w:w="2358" w:type="dxa"/>
          </w:tcPr>
          <w:p w14:paraId="15C61D6F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Parkinson’s disease</w:t>
            </w:r>
          </w:p>
        </w:tc>
        <w:tc>
          <w:tcPr>
            <w:tcW w:w="2340" w:type="dxa"/>
          </w:tcPr>
          <w:p w14:paraId="6C63D967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Levodopa</w:t>
            </w:r>
          </w:p>
          <w:p w14:paraId="4D98397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Carbidopa</w:t>
            </w:r>
          </w:p>
          <w:p w14:paraId="63E10CDA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Pramipexol </w:t>
            </w:r>
          </w:p>
          <w:p w14:paraId="4BB6EEBF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Entacapone</w:t>
            </w:r>
          </w:p>
        </w:tc>
        <w:tc>
          <w:tcPr>
            <w:tcW w:w="5040" w:type="dxa"/>
          </w:tcPr>
          <w:p w14:paraId="43F1F04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precursor</w:t>
            </w:r>
          </w:p>
          <w:p w14:paraId="339B93EF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 decarboxylase inhibitor</w:t>
            </w:r>
          </w:p>
          <w:p w14:paraId="7286FDE1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agonist</w:t>
            </w:r>
          </w:p>
          <w:p w14:paraId="3FC69A92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catechol o-methyl transferase inhibitor</w:t>
            </w:r>
          </w:p>
        </w:tc>
        <w:tc>
          <w:tcPr>
            <w:tcW w:w="1530" w:type="dxa"/>
          </w:tcPr>
          <w:p w14:paraId="4124BA5E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3</w:t>
            </w:r>
          </w:p>
        </w:tc>
      </w:tr>
      <w:tr w:rsidR="00D75F34" w:rsidRPr="00E0379E" w14:paraId="717A5B39" w14:textId="77777777" w:rsidTr="00BF6ABD">
        <w:tc>
          <w:tcPr>
            <w:tcW w:w="2358" w:type="dxa"/>
          </w:tcPr>
          <w:p w14:paraId="79A3DADA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Parkinson’s disease</w:t>
            </w:r>
          </w:p>
        </w:tc>
        <w:tc>
          <w:tcPr>
            <w:tcW w:w="2340" w:type="dxa"/>
          </w:tcPr>
          <w:p w14:paraId="1E0FC87F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Levodopa</w:t>
            </w:r>
          </w:p>
          <w:p w14:paraId="5E8B67CF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Carbidopa</w:t>
            </w:r>
          </w:p>
          <w:p w14:paraId="251A4877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E0379E">
              <w:rPr>
                <w:rFonts w:ascii="Arial" w:hAnsi="Arial" w:cs="Arial"/>
              </w:rPr>
              <w:t>Rasagiline</w:t>
            </w:r>
            <w:proofErr w:type="spellEnd"/>
          </w:p>
        </w:tc>
        <w:tc>
          <w:tcPr>
            <w:tcW w:w="5040" w:type="dxa"/>
          </w:tcPr>
          <w:p w14:paraId="7C5AD604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precursor</w:t>
            </w:r>
          </w:p>
          <w:p w14:paraId="43D1610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 decarboxylase inhibitor</w:t>
            </w:r>
          </w:p>
          <w:p w14:paraId="5283E98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Mono amine oxidase inhibitor</w:t>
            </w:r>
          </w:p>
        </w:tc>
        <w:tc>
          <w:tcPr>
            <w:tcW w:w="1530" w:type="dxa"/>
          </w:tcPr>
          <w:p w14:paraId="29A31C1D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5</w:t>
            </w:r>
          </w:p>
        </w:tc>
      </w:tr>
      <w:tr w:rsidR="00D75F34" w:rsidRPr="00E0379E" w14:paraId="5B18529F" w14:textId="77777777" w:rsidTr="00BF6ABD">
        <w:tc>
          <w:tcPr>
            <w:tcW w:w="2358" w:type="dxa"/>
          </w:tcPr>
          <w:p w14:paraId="7E0A9FFA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Parkinson’s disease</w:t>
            </w:r>
          </w:p>
        </w:tc>
        <w:tc>
          <w:tcPr>
            <w:tcW w:w="2340" w:type="dxa"/>
          </w:tcPr>
          <w:p w14:paraId="78A826D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Levodopa </w:t>
            </w:r>
          </w:p>
          <w:p w14:paraId="65E6EB08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Carbidopa</w:t>
            </w:r>
          </w:p>
          <w:p w14:paraId="66D3858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Pramipexol </w:t>
            </w:r>
          </w:p>
          <w:p w14:paraId="5BB62392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Ropinirole</w:t>
            </w:r>
          </w:p>
        </w:tc>
        <w:tc>
          <w:tcPr>
            <w:tcW w:w="5040" w:type="dxa"/>
          </w:tcPr>
          <w:p w14:paraId="757F733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dopamine precursor </w:t>
            </w:r>
          </w:p>
          <w:p w14:paraId="3574541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 decarboxylase inhibitor</w:t>
            </w:r>
          </w:p>
          <w:p w14:paraId="4ACA8591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agonist</w:t>
            </w:r>
          </w:p>
          <w:p w14:paraId="5672E0A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stimulates post-synaptic D2 dopamine receptors</w:t>
            </w:r>
          </w:p>
        </w:tc>
        <w:tc>
          <w:tcPr>
            <w:tcW w:w="1530" w:type="dxa"/>
          </w:tcPr>
          <w:p w14:paraId="1020F30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2</w:t>
            </w:r>
          </w:p>
        </w:tc>
      </w:tr>
      <w:tr w:rsidR="00D75F34" w:rsidRPr="00E0379E" w14:paraId="704CA5CE" w14:textId="77777777" w:rsidTr="00BF6ABD">
        <w:tc>
          <w:tcPr>
            <w:tcW w:w="2358" w:type="dxa"/>
          </w:tcPr>
          <w:p w14:paraId="4F2679FF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Parkinson’s disease</w:t>
            </w:r>
          </w:p>
        </w:tc>
        <w:tc>
          <w:tcPr>
            <w:tcW w:w="2340" w:type="dxa"/>
          </w:tcPr>
          <w:p w14:paraId="12231C7B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Levodopa </w:t>
            </w:r>
          </w:p>
          <w:p w14:paraId="6808634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Carbidopa </w:t>
            </w:r>
          </w:p>
          <w:p w14:paraId="24D5E81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Amantadine</w:t>
            </w:r>
          </w:p>
        </w:tc>
        <w:tc>
          <w:tcPr>
            <w:tcW w:w="5040" w:type="dxa"/>
          </w:tcPr>
          <w:p w14:paraId="3D35D53C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dopamine precursor</w:t>
            </w:r>
          </w:p>
          <w:p w14:paraId="55422394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DOPA decarboxylase inhibitor</w:t>
            </w:r>
          </w:p>
          <w:p w14:paraId="655BDB3A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NMDA receptor antagonist</w:t>
            </w:r>
          </w:p>
        </w:tc>
        <w:tc>
          <w:tcPr>
            <w:tcW w:w="1530" w:type="dxa"/>
          </w:tcPr>
          <w:p w14:paraId="0FF62095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1</w:t>
            </w:r>
          </w:p>
        </w:tc>
      </w:tr>
      <w:tr w:rsidR="00D75F34" w:rsidRPr="00E0379E" w14:paraId="5FC711C7" w14:textId="77777777" w:rsidTr="00BF6ABD">
        <w:tc>
          <w:tcPr>
            <w:tcW w:w="2358" w:type="dxa"/>
          </w:tcPr>
          <w:p w14:paraId="4781BA1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Schizophrenia</w:t>
            </w:r>
          </w:p>
        </w:tc>
        <w:tc>
          <w:tcPr>
            <w:tcW w:w="2340" w:type="dxa"/>
          </w:tcPr>
          <w:p w14:paraId="56CCA75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Olanzapine </w:t>
            </w:r>
          </w:p>
          <w:p w14:paraId="043CD482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E0379E">
              <w:rPr>
                <w:rFonts w:ascii="Arial" w:hAnsi="Arial" w:cs="Arial"/>
              </w:rPr>
              <w:t>Resperidon</w:t>
            </w:r>
            <w:proofErr w:type="spellEnd"/>
          </w:p>
        </w:tc>
        <w:tc>
          <w:tcPr>
            <w:tcW w:w="5040" w:type="dxa"/>
          </w:tcPr>
          <w:p w14:paraId="2CB1242B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D2 receptor antagonist</w:t>
            </w:r>
          </w:p>
          <w:p w14:paraId="22C54E27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D2 receptor antagonist</w:t>
            </w:r>
          </w:p>
        </w:tc>
        <w:tc>
          <w:tcPr>
            <w:tcW w:w="1530" w:type="dxa"/>
          </w:tcPr>
          <w:p w14:paraId="0654016B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2</w:t>
            </w:r>
          </w:p>
        </w:tc>
      </w:tr>
      <w:tr w:rsidR="00D75F34" w:rsidRPr="00E0379E" w14:paraId="74FCA9C3" w14:textId="77777777" w:rsidTr="00BF6ABD">
        <w:tc>
          <w:tcPr>
            <w:tcW w:w="2358" w:type="dxa"/>
          </w:tcPr>
          <w:p w14:paraId="7301EA10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Schizophrenia</w:t>
            </w:r>
          </w:p>
        </w:tc>
        <w:tc>
          <w:tcPr>
            <w:tcW w:w="2340" w:type="dxa"/>
          </w:tcPr>
          <w:p w14:paraId="2B7D61CC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 xml:space="preserve">Olanzapine </w:t>
            </w:r>
          </w:p>
          <w:p w14:paraId="041D9DDD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proofErr w:type="spellStart"/>
            <w:r w:rsidRPr="00E0379E">
              <w:rPr>
                <w:rFonts w:ascii="Arial" w:hAnsi="Arial" w:cs="Arial"/>
              </w:rPr>
              <w:t>Resperidon</w:t>
            </w:r>
            <w:proofErr w:type="spellEnd"/>
          </w:p>
          <w:p w14:paraId="7F3DD716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Haloperidol</w:t>
            </w:r>
          </w:p>
        </w:tc>
        <w:tc>
          <w:tcPr>
            <w:tcW w:w="5040" w:type="dxa"/>
          </w:tcPr>
          <w:p w14:paraId="027162DA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D2 receptor antagonist</w:t>
            </w:r>
          </w:p>
          <w:p w14:paraId="52EA0269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D2 receptor antagonist</w:t>
            </w:r>
          </w:p>
          <w:p w14:paraId="766B5F58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D2 receptor antagonist</w:t>
            </w:r>
          </w:p>
        </w:tc>
        <w:tc>
          <w:tcPr>
            <w:tcW w:w="1530" w:type="dxa"/>
          </w:tcPr>
          <w:p w14:paraId="1035A4B7" w14:textId="77777777" w:rsidR="00D75F34" w:rsidRPr="00E0379E" w:rsidRDefault="00D75F34" w:rsidP="00BF6ABD">
            <w:pPr>
              <w:spacing w:before="60" w:after="60"/>
              <w:rPr>
                <w:rFonts w:ascii="Arial" w:hAnsi="Arial" w:cs="Arial"/>
              </w:rPr>
            </w:pPr>
            <w:r w:rsidRPr="00E0379E">
              <w:rPr>
                <w:rFonts w:ascii="Arial" w:hAnsi="Arial" w:cs="Arial"/>
              </w:rPr>
              <w:t>2</w:t>
            </w:r>
          </w:p>
        </w:tc>
      </w:tr>
    </w:tbl>
    <w:p w14:paraId="1C09A144" w14:textId="77777777" w:rsidR="00D75F34" w:rsidRDefault="00D75F34">
      <w:pPr>
        <w:rPr>
          <w:noProof/>
          <w:lang w:eastAsia="en-IN"/>
        </w:rPr>
      </w:pPr>
    </w:p>
    <w:p w14:paraId="387C7842" w14:textId="77777777" w:rsidR="00D75F34" w:rsidRDefault="00D75F34">
      <w:pPr>
        <w:rPr>
          <w:noProof/>
          <w:lang w:eastAsia="en-IN"/>
        </w:rPr>
      </w:pPr>
    </w:p>
    <w:p w14:paraId="1A1E4B8E" w14:textId="77777777" w:rsidR="00D75F34" w:rsidRDefault="00D75F34">
      <w:pPr>
        <w:rPr>
          <w:noProof/>
          <w:lang w:eastAsia="en-IN"/>
        </w:rPr>
      </w:pPr>
    </w:p>
    <w:p w14:paraId="17453651" w14:textId="77777777" w:rsidR="00D75F34" w:rsidRDefault="00D75F34">
      <w:pPr>
        <w:rPr>
          <w:noProof/>
          <w:lang w:eastAsia="en-IN"/>
        </w:rPr>
      </w:pPr>
    </w:p>
    <w:p w14:paraId="55418FF3" w14:textId="77777777" w:rsidR="00D75F34" w:rsidRDefault="00D75F34">
      <w:pPr>
        <w:rPr>
          <w:noProof/>
          <w:lang w:eastAsia="en-IN"/>
        </w:rPr>
      </w:pPr>
    </w:p>
    <w:p w14:paraId="4F3C44E7" w14:textId="77777777" w:rsidR="00D75F34" w:rsidRDefault="00D75F34">
      <w:pPr>
        <w:rPr>
          <w:noProof/>
          <w:lang w:eastAsia="en-IN"/>
        </w:rPr>
      </w:pPr>
    </w:p>
    <w:p w14:paraId="562C33C6" w14:textId="77777777" w:rsidR="00D75F34" w:rsidRDefault="00D75F34">
      <w:pPr>
        <w:rPr>
          <w:noProof/>
          <w:lang w:eastAsia="en-IN"/>
        </w:rPr>
      </w:pPr>
    </w:p>
    <w:p w14:paraId="78CB154F" w14:textId="77777777" w:rsidR="00D75F34" w:rsidRDefault="00D75F34">
      <w:pPr>
        <w:rPr>
          <w:noProof/>
          <w:lang w:eastAsia="en-IN"/>
        </w:rPr>
      </w:pPr>
    </w:p>
    <w:p w14:paraId="21FD647F" w14:textId="77777777" w:rsidR="00D75F34" w:rsidRDefault="00D75F34">
      <w:pPr>
        <w:rPr>
          <w:noProof/>
          <w:lang w:eastAsia="en-IN"/>
        </w:rPr>
      </w:pPr>
    </w:p>
    <w:p w14:paraId="11052C17" w14:textId="77777777" w:rsidR="00D418D5" w:rsidRDefault="00D418D5">
      <w:pPr>
        <w:rPr>
          <w:rFonts w:ascii="Arial" w:hAnsi="Arial" w:cs="Arial"/>
          <w:b/>
        </w:rPr>
      </w:pPr>
    </w:p>
    <w:p w14:paraId="0E791A91" w14:textId="77777777" w:rsidR="00D418D5" w:rsidRDefault="00D418D5">
      <w:pPr>
        <w:rPr>
          <w:rFonts w:ascii="Arial" w:hAnsi="Arial" w:cs="Arial"/>
          <w:b/>
        </w:rPr>
      </w:pPr>
    </w:p>
    <w:p w14:paraId="56FCE698" w14:textId="77777777" w:rsidR="00D418D5" w:rsidRDefault="00D418D5">
      <w:pPr>
        <w:rPr>
          <w:rFonts w:ascii="Arial" w:hAnsi="Arial" w:cs="Arial"/>
          <w:b/>
        </w:rPr>
      </w:pPr>
    </w:p>
    <w:p w14:paraId="3F273EB8" w14:textId="77777777" w:rsidR="00D418D5" w:rsidRDefault="00D418D5">
      <w:pPr>
        <w:rPr>
          <w:rFonts w:ascii="Arial" w:hAnsi="Arial" w:cs="Arial"/>
          <w:b/>
        </w:rPr>
      </w:pPr>
    </w:p>
    <w:p w14:paraId="5F9DE917" w14:textId="77777777" w:rsidR="00D418D5" w:rsidRDefault="00D418D5">
      <w:pPr>
        <w:rPr>
          <w:rFonts w:ascii="Arial" w:hAnsi="Arial" w:cs="Arial"/>
          <w:b/>
        </w:rPr>
      </w:pPr>
    </w:p>
    <w:p w14:paraId="480405CD" w14:textId="77777777" w:rsidR="00D418D5" w:rsidRDefault="00D418D5">
      <w:pPr>
        <w:rPr>
          <w:rFonts w:ascii="Arial" w:hAnsi="Arial" w:cs="Arial"/>
          <w:b/>
        </w:rPr>
      </w:pPr>
    </w:p>
    <w:p w14:paraId="5D5F5945" w14:textId="77777777" w:rsidR="00D75F34" w:rsidRDefault="00D75F34">
      <w:pPr>
        <w:rPr>
          <w:noProof/>
          <w:lang w:eastAsia="en-IN"/>
        </w:rPr>
      </w:pPr>
      <w:r>
        <w:rPr>
          <w:rFonts w:ascii="Arial" w:hAnsi="Arial" w:cs="Arial"/>
          <w:b/>
        </w:rPr>
        <w:t>Supplementary Figure 1</w:t>
      </w:r>
    </w:p>
    <w:p w14:paraId="2DF09711" w14:textId="77777777" w:rsidR="00D75F34" w:rsidRDefault="00D75F34">
      <w:pPr>
        <w:rPr>
          <w:noProof/>
          <w:lang w:eastAsia="en-IN"/>
        </w:rPr>
      </w:pPr>
      <w:r w:rsidRPr="00D75F34">
        <w:rPr>
          <w:noProof/>
          <w:lang w:val="en-US"/>
        </w:rPr>
        <w:drawing>
          <wp:inline distT="0" distB="0" distL="0" distR="0" wp14:anchorId="268E064C" wp14:editId="319460A9">
            <wp:extent cx="5731510" cy="3224646"/>
            <wp:effectExtent l="0" t="0" r="2540" b="0"/>
            <wp:docPr id="13" name="Picture 13" descr="D: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2957" w14:textId="77777777" w:rsidR="00D75F34" w:rsidRDefault="00D75F34">
      <w:pPr>
        <w:rPr>
          <w:rFonts w:ascii="Arial" w:hAnsi="Arial" w:cs="Arial"/>
          <w:b/>
        </w:rPr>
      </w:pPr>
    </w:p>
    <w:p w14:paraId="0F9EB0FF" w14:textId="77777777" w:rsidR="00B860A7" w:rsidRPr="00BA3CC9" w:rsidRDefault="00B860A7" w:rsidP="00B860A7">
      <w:pPr>
        <w:spacing w:line="360" w:lineRule="auto"/>
        <w:jc w:val="both"/>
        <w:rPr>
          <w:sz w:val="24"/>
          <w:szCs w:val="24"/>
        </w:rPr>
      </w:pPr>
      <w:r w:rsidRPr="00BA3CC9">
        <w:rPr>
          <w:rFonts w:ascii="Times New Roman" w:hAnsi="Times New Roman"/>
          <w:b/>
          <w:bCs/>
          <w:color w:val="000000"/>
          <w:sz w:val="24"/>
          <w:szCs w:val="24"/>
        </w:rPr>
        <w:t xml:space="preserve">Supplementary Figure 1 </w:t>
      </w:r>
      <w:r w:rsidRPr="00BA3CC9">
        <w:rPr>
          <w:rFonts w:ascii="Times New Roman" w:hAnsi="Times New Roman"/>
          <w:color w:val="000000"/>
          <w:sz w:val="24"/>
          <w:szCs w:val="24"/>
        </w:rPr>
        <w:t xml:space="preserve">Pie chart showing protein profile based on abundance in CSF in each clinical phenotype. Light shade represents high abundance; medium shade represents moderate abundance, and dark shade represents low abundant proteins. </w:t>
      </w:r>
    </w:p>
    <w:p w14:paraId="55F8D791" w14:textId="77777777" w:rsidR="00D418D5" w:rsidRDefault="00D418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672B79B" w14:textId="77777777" w:rsidR="00D75F34" w:rsidRDefault="00D75F34">
      <w:pPr>
        <w:rPr>
          <w:noProof/>
          <w:lang w:eastAsia="en-IN"/>
        </w:rPr>
      </w:pPr>
      <w:r>
        <w:rPr>
          <w:rFonts w:ascii="Arial" w:hAnsi="Arial" w:cs="Arial"/>
          <w:b/>
        </w:rPr>
        <w:lastRenderedPageBreak/>
        <w:t>Supplementary Figure 2</w:t>
      </w:r>
    </w:p>
    <w:p w14:paraId="39FA9EA9" w14:textId="77777777" w:rsidR="00A33A58" w:rsidRDefault="00A33A58">
      <w:pPr>
        <w:rPr>
          <w:noProof/>
          <w:lang w:eastAsia="en-IN"/>
        </w:rPr>
      </w:pPr>
    </w:p>
    <w:p w14:paraId="5EA57BB4" w14:textId="77777777" w:rsidR="005E23A3" w:rsidRDefault="00177EC3">
      <w:r w:rsidRPr="00177EC3">
        <w:rPr>
          <w:noProof/>
          <w:lang w:val="en-US"/>
        </w:rPr>
        <w:drawing>
          <wp:inline distT="0" distB="0" distL="0" distR="0" wp14:anchorId="244CFF13" wp14:editId="38E240E9">
            <wp:extent cx="5731510" cy="3902783"/>
            <wp:effectExtent l="0" t="0" r="2540" b="2540"/>
            <wp:docPr id="2" name="Picture 2" descr="C:\Users\imran\Documents\1-PHD-DONE\fig edit\edited - Sep-2019\Supp Fig. 2.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ran\Documents\1-PHD-DONE\fig edit\edited - Sep-2019\Supp Fig. 2.1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79F15" w14:textId="77777777" w:rsidR="00177EC3" w:rsidRDefault="00177EC3"/>
    <w:p w14:paraId="26EE9151" w14:textId="77777777" w:rsidR="00177EC3" w:rsidRDefault="00177EC3">
      <w:r w:rsidRPr="00177EC3">
        <w:rPr>
          <w:noProof/>
          <w:lang w:val="en-US"/>
        </w:rPr>
        <w:drawing>
          <wp:inline distT="0" distB="0" distL="0" distR="0" wp14:anchorId="5AE10FA6" wp14:editId="07222774">
            <wp:extent cx="5731510" cy="3903639"/>
            <wp:effectExtent l="0" t="0" r="2540" b="1905"/>
            <wp:docPr id="12" name="Picture 12" descr="C:\Users\imran\Documents\1-PHD-DONE\fig edit\edited - Sep-2019\Supp Fig. 2.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ran\Documents\1-PHD-DONE\fig edit\edited - Sep-2019\Supp Fig. 2.2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9C1B" w14:textId="77777777" w:rsidR="00177EC3" w:rsidRDefault="00177EC3"/>
    <w:p w14:paraId="07F67CD2" w14:textId="77777777" w:rsidR="00177EC3" w:rsidRDefault="00177EC3">
      <w:r w:rsidRPr="00177EC3">
        <w:rPr>
          <w:noProof/>
          <w:lang w:val="en-US"/>
        </w:rPr>
        <w:drawing>
          <wp:inline distT="0" distB="0" distL="0" distR="0" wp14:anchorId="44503FF1" wp14:editId="55B1E03C">
            <wp:extent cx="5731510" cy="3904257"/>
            <wp:effectExtent l="0" t="0" r="2540" b="1270"/>
            <wp:docPr id="14" name="Picture 14" descr="C:\Users\imran\Documents\1-PHD-DONE\fig edit\edited - Sep-2019\Supp Fig. 2.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ran\Documents\1-PHD-DONE\fig edit\edited - Sep-2019\Supp Fig. 2.3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42EF" w14:textId="77777777" w:rsidR="00177EC3" w:rsidRDefault="00177EC3"/>
    <w:p w14:paraId="4857789B" w14:textId="77777777" w:rsidR="00177EC3" w:rsidRDefault="00177EC3">
      <w:r w:rsidRPr="00177EC3">
        <w:rPr>
          <w:noProof/>
          <w:lang w:val="en-US"/>
        </w:rPr>
        <w:drawing>
          <wp:inline distT="0" distB="0" distL="0" distR="0" wp14:anchorId="23F435EA" wp14:editId="6AC51CDC">
            <wp:extent cx="5731510" cy="3903226"/>
            <wp:effectExtent l="0" t="0" r="2540" b="2540"/>
            <wp:docPr id="15" name="Picture 15" descr="C:\Users\imran\Documents\1-PHD-DONE\fig edit\edited - Sep-2019\Supp Fig. 2.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ran\Documents\1-PHD-DONE\fig edit\edited - Sep-2019\Supp Fig. 2.4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AB79" w14:textId="77777777" w:rsidR="00177EC3" w:rsidRDefault="00177EC3"/>
    <w:p w14:paraId="3A5120A4" w14:textId="77777777" w:rsidR="00177EC3" w:rsidRDefault="00177EC3">
      <w:r w:rsidRPr="00177EC3">
        <w:rPr>
          <w:noProof/>
          <w:lang w:val="en-US"/>
        </w:rPr>
        <w:lastRenderedPageBreak/>
        <w:drawing>
          <wp:inline distT="0" distB="0" distL="0" distR="0" wp14:anchorId="26F10F5F" wp14:editId="08E77546">
            <wp:extent cx="5731510" cy="3903226"/>
            <wp:effectExtent l="0" t="0" r="2540" b="2540"/>
            <wp:docPr id="16" name="Picture 16" descr="C:\Users\imran\Documents\1-PHD-DONE\fig edit\edited - Sep-2019\Supp Fig. 2.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ran\Documents\1-PHD-DONE\fig edit\edited - Sep-2019\Supp Fig. 2.5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0BB1" w14:textId="77777777" w:rsidR="00177EC3" w:rsidRDefault="00177EC3"/>
    <w:p w14:paraId="13F37685" w14:textId="77777777" w:rsidR="00177EC3" w:rsidRDefault="00177EC3">
      <w:r w:rsidRPr="00177EC3">
        <w:rPr>
          <w:noProof/>
          <w:lang w:val="en-US"/>
        </w:rPr>
        <w:drawing>
          <wp:inline distT="0" distB="0" distL="0" distR="0" wp14:anchorId="328AB607" wp14:editId="0E75FBD8">
            <wp:extent cx="5731510" cy="3905019"/>
            <wp:effectExtent l="0" t="0" r="2540" b="635"/>
            <wp:docPr id="17" name="Picture 17" descr="C:\Users\imran\Documents\1-PHD-DONE\fig edit\edited - Sep-2019\Supp Fig. 2.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ran\Documents\1-PHD-DONE\fig edit\edited - Sep-2019\Supp Fig. 2.6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9166" w14:textId="77777777" w:rsidR="00177EC3" w:rsidRDefault="00177EC3"/>
    <w:p w14:paraId="42D4E207" w14:textId="77777777" w:rsidR="00177EC3" w:rsidRDefault="00177EC3">
      <w:r w:rsidRPr="00177EC3">
        <w:rPr>
          <w:noProof/>
          <w:lang w:val="en-US"/>
        </w:rPr>
        <w:lastRenderedPageBreak/>
        <w:drawing>
          <wp:inline distT="0" distB="0" distL="0" distR="0" wp14:anchorId="5F4B4404" wp14:editId="657D3048">
            <wp:extent cx="5731510" cy="3903226"/>
            <wp:effectExtent l="0" t="0" r="2540" b="2540"/>
            <wp:docPr id="18" name="Picture 18" descr="C:\Users\imran\Documents\1-PHD-DONE\fig edit\edited - Sep-2019\Supp Fig. 2.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ran\Documents\1-PHD-DONE\fig edit\edited - Sep-2019\Supp Fig. 2.7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F6A3" w14:textId="77777777" w:rsidR="00177EC3" w:rsidRDefault="00177EC3"/>
    <w:p w14:paraId="3FD5D216" w14:textId="77777777" w:rsidR="00177EC3" w:rsidRDefault="00177EC3">
      <w:r w:rsidRPr="00177EC3">
        <w:rPr>
          <w:noProof/>
          <w:lang w:val="en-US"/>
        </w:rPr>
        <w:drawing>
          <wp:inline distT="0" distB="0" distL="0" distR="0" wp14:anchorId="0EB22A67" wp14:editId="641168A3">
            <wp:extent cx="5731510" cy="3903716"/>
            <wp:effectExtent l="0" t="0" r="2540" b="1905"/>
            <wp:docPr id="19" name="Picture 19" descr="C:\Users\imran\Documents\1-PHD-DONE\fig edit\edited - Sep-2019\Supp Fig. 2.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ran\Documents\1-PHD-DONE\fig edit\edited - Sep-2019\Supp Fig. 2.8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96E09" w14:textId="77777777" w:rsidR="00177EC3" w:rsidRDefault="00177EC3"/>
    <w:p w14:paraId="7E2F1327" w14:textId="77777777" w:rsidR="00177EC3" w:rsidRDefault="00177EC3">
      <w:r w:rsidRPr="00177EC3">
        <w:rPr>
          <w:noProof/>
          <w:lang w:val="en-US"/>
        </w:rPr>
        <w:lastRenderedPageBreak/>
        <w:drawing>
          <wp:inline distT="0" distB="0" distL="0" distR="0" wp14:anchorId="0AE83067" wp14:editId="08958436">
            <wp:extent cx="5731510" cy="3904257"/>
            <wp:effectExtent l="0" t="0" r="2540" b="1270"/>
            <wp:docPr id="20" name="Picture 20" descr="C:\Users\imran\Documents\1-PHD-DONE\fig edit\edited - Sep-2019\Supp Fig. 2.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ran\Documents\1-PHD-DONE\fig edit\edited - Sep-2019\Supp Fig. 2.9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AEBC" w14:textId="77777777" w:rsidR="00177EC3" w:rsidRDefault="00177EC3"/>
    <w:p w14:paraId="3B824DF8" w14:textId="77777777" w:rsidR="00177EC3" w:rsidRDefault="00177EC3">
      <w:bookmarkStart w:id="0" w:name="_GoBack"/>
      <w:r w:rsidRPr="00177EC3">
        <w:rPr>
          <w:noProof/>
          <w:lang w:val="en-US"/>
        </w:rPr>
        <w:drawing>
          <wp:inline distT="0" distB="0" distL="0" distR="0" wp14:anchorId="6AFDC635" wp14:editId="24A9E11B">
            <wp:extent cx="5731510" cy="3903712"/>
            <wp:effectExtent l="0" t="0" r="2540" b="1905"/>
            <wp:docPr id="21" name="Picture 21" descr="C:\Users\imran\Documents\1-PHD-DONE\fig edit\edited - Sep-2019\Supp Fig. 2.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ran\Documents\1-PHD-DONE\fig edit\edited - Sep-2019\Supp Fig. 2.10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0F5FDAF" w14:textId="77777777" w:rsidR="00B860A7" w:rsidRDefault="00B860A7"/>
    <w:p w14:paraId="4811ED34" w14:textId="77777777" w:rsidR="00B860A7" w:rsidRPr="00BA3CC9" w:rsidRDefault="00B860A7" w:rsidP="00B86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CC9">
        <w:rPr>
          <w:rFonts w:ascii="Times New Roman" w:hAnsi="Times New Roman" w:cs="Times New Roman"/>
          <w:b/>
          <w:sz w:val="24"/>
          <w:szCs w:val="24"/>
        </w:rPr>
        <w:lastRenderedPageBreak/>
        <w:t>Supplementary Figure 2</w:t>
      </w:r>
      <w:r w:rsidRPr="00BA3CC9">
        <w:rPr>
          <w:rFonts w:ascii="Times New Roman" w:hAnsi="Times New Roman" w:cs="Times New Roman"/>
          <w:sz w:val="24"/>
          <w:szCs w:val="24"/>
        </w:rPr>
        <w:t xml:space="preserve"> </w:t>
      </w:r>
      <w:r w:rsidRPr="00471C6C">
        <w:rPr>
          <w:rFonts w:ascii="Times New Roman" w:hAnsi="Times New Roman" w:cs="Times New Roman"/>
          <w:b/>
          <w:sz w:val="24"/>
          <w:szCs w:val="24"/>
        </w:rPr>
        <w:t xml:space="preserve">(2.1–2.10) </w:t>
      </w:r>
      <w:r w:rsidRPr="00BA3CC9">
        <w:rPr>
          <w:rFonts w:ascii="Times New Roman" w:hAnsi="Times New Roman" w:cs="Times New Roman"/>
          <w:sz w:val="24"/>
          <w:szCs w:val="24"/>
        </w:rPr>
        <w:t xml:space="preserve">Mass spectrometric results for the </w:t>
      </w:r>
      <w:proofErr w:type="spellStart"/>
      <w:r w:rsidRPr="00BA3CC9">
        <w:rPr>
          <w:rFonts w:ascii="Times New Roman" w:hAnsi="Times New Roman" w:cs="Times New Roman"/>
          <w:sz w:val="24"/>
          <w:szCs w:val="24"/>
        </w:rPr>
        <w:t>iTRAQ</w:t>
      </w:r>
      <w:proofErr w:type="spellEnd"/>
      <w:r w:rsidRPr="00BA3CC9">
        <w:rPr>
          <w:rFonts w:ascii="Times New Roman" w:hAnsi="Times New Roman" w:cs="Times New Roman"/>
          <w:sz w:val="24"/>
          <w:szCs w:val="24"/>
        </w:rPr>
        <w:t xml:space="preserve"> experiment with protein from CSF samples of patients with Schizophrenia and Parkinson’s disease. </w:t>
      </w:r>
      <w:r w:rsidRPr="00BA3CC9">
        <w:rPr>
          <w:rFonts w:ascii="Times New Roman" w:hAnsi="Times New Roman" w:cs="Times New Roman"/>
          <w:b/>
          <w:sz w:val="24"/>
          <w:szCs w:val="24"/>
        </w:rPr>
        <w:t>(A)</w:t>
      </w:r>
      <w:r w:rsidRPr="00BA3CC9">
        <w:rPr>
          <w:rFonts w:ascii="Times New Roman" w:hAnsi="Times New Roman" w:cs="Times New Roman"/>
          <w:sz w:val="24"/>
          <w:szCs w:val="24"/>
        </w:rPr>
        <w:t xml:space="preserve"> Precursor peptide reporter ion peaks with differential intensities between clinical phenotypes of Schizophrenia and Parkinson’s disease; </w:t>
      </w:r>
      <w:r w:rsidRPr="00BA3CC9">
        <w:rPr>
          <w:rFonts w:ascii="Times New Roman" w:hAnsi="Times New Roman" w:cs="Times New Roman"/>
          <w:b/>
          <w:sz w:val="24"/>
          <w:szCs w:val="24"/>
        </w:rPr>
        <w:t>(B)</w:t>
      </w:r>
      <w:r w:rsidRPr="00BA3CC9">
        <w:rPr>
          <w:rFonts w:ascii="Times New Roman" w:hAnsi="Times New Roman" w:cs="Times New Roman"/>
          <w:sz w:val="24"/>
          <w:szCs w:val="24"/>
        </w:rPr>
        <w:t xml:space="preserve"> m/z values for different b and y peptide ion pairs; </w:t>
      </w:r>
      <w:r w:rsidRPr="00BA3CC9">
        <w:rPr>
          <w:rFonts w:ascii="Times New Roman" w:hAnsi="Times New Roman" w:cs="Times New Roman"/>
          <w:b/>
          <w:sz w:val="24"/>
          <w:szCs w:val="24"/>
        </w:rPr>
        <w:t>(C)</w:t>
      </w:r>
      <w:r w:rsidRPr="00BA3CC9">
        <w:rPr>
          <w:rFonts w:ascii="Times New Roman" w:hAnsi="Times New Roman" w:cs="Times New Roman"/>
          <w:sz w:val="24"/>
          <w:szCs w:val="24"/>
        </w:rPr>
        <w:t xml:space="preserve"> Mass spectra intensity plot for different b and y ions. The y1 peak represents the C-terminal Lysine or Arginine of the tryptic peptide. Subsequent y peaks have one addition amino acid in addition to the previous y peak, and the molecular mass difference identifies the extra amino acid. </w:t>
      </w:r>
      <w:proofErr w:type="gramStart"/>
      <w:r w:rsidRPr="00BA3CC9">
        <w:rPr>
          <w:rFonts w:ascii="Times New Roman" w:hAnsi="Times New Roman" w:cs="Times New Roman"/>
          <w:sz w:val="24"/>
          <w:szCs w:val="24"/>
        </w:rPr>
        <w:t>Similarly</w:t>
      </w:r>
      <w:proofErr w:type="gramEnd"/>
      <w:r w:rsidRPr="00BA3CC9">
        <w:rPr>
          <w:rFonts w:ascii="Times New Roman" w:hAnsi="Times New Roman" w:cs="Times New Roman"/>
          <w:sz w:val="24"/>
          <w:szCs w:val="24"/>
        </w:rPr>
        <w:t xml:space="preserve"> all the b fragment peptide ion peaks contain a common N terminal amino acid. Ion y1 and b1 are the smallest of them. The numerical subscript represents the number of amino acids in that fragment.</w:t>
      </w:r>
    </w:p>
    <w:p w14:paraId="72C5BA6E" w14:textId="77777777" w:rsidR="00B860A7" w:rsidRDefault="00B860A7"/>
    <w:sectPr w:rsidR="00B86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A58"/>
    <w:rsid w:val="00177EC3"/>
    <w:rsid w:val="003D5720"/>
    <w:rsid w:val="005E23A3"/>
    <w:rsid w:val="00A33A58"/>
    <w:rsid w:val="00B860A7"/>
    <w:rsid w:val="00D418D5"/>
    <w:rsid w:val="00D75F34"/>
    <w:rsid w:val="00E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0B0F9"/>
  <w15:chartTrackingRefBased/>
  <w15:docId w15:val="{34F291B0-C7C1-415E-BE8B-4F27C17E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F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88AD65543844A810C3DD82A589504" ma:contentTypeVersion="10" ma:contentTypeDescription="Create a new document." ma:contentTypeScope="" ma:versionID="9b949b524a923482e8a77a5600b5b81e">
  <xsd:schema xmlns:xsd="http://www.w3.org/2001/XMLSchema" xmlns:xs="http://www.w3.org/2001/XMLSchema" xmlns:p="http://schemas.microsoft.com/office/2006/metadata/properties" xmlns:ns3="3cb5a929-a351-4e0f-b46b-be99a4aa8e8c" targetNamespace="http://schemas.microsoft.com/office/2006/metadata/properties" ma:root="true" ma:fieldsID="5ea63e8227b2a33ff22424fb13af1106" ns3:_="">
    <xsd:import namespace="3cb5a929-a351-4e0f-b46b-be99a4aa8e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5a929-a351-4e0f-b46b-be99a4aa8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0DE881-2561-49EC-B35C-CC767F5CC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5a929-a351-4e0f-b46b-be99a4aa8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55620C-331A-4A30-B4D3-1B171823C8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32AF0E-80FB-4F17-9E1C-951E94582A76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3cb5a929-a351-4e0f-b46b-be99a4aa8e8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371</Words>
  <Characters>2116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IMRAN KHAN</dc:creator>
  <cp:keywords/>
  <dc:description/>
  <cp:lastModifiedBy>Tania Olliver</cp:lastModifiedBy>
  <cp:revision>2</cp:revision>
  <dcterms:created xsi:type="dcterms:W3CDTF">2019-09-11T00:52:00Z</dcterms:created>
  <dcterms:modified xsi:type="dcterms:W3CDTF">2019-09-11T00:52:00Z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0x0101000FC88AD65543844A810C3DD82A589504</vt:lpwstr>
  </property>
</Properties>
</file>