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0" w:type="dxa"/>
        <w:tblInd w:w="93" w:type="dxa"/>
        <w:tblBorders>
          <w:bottom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1620"/>
        <w:gridCol w:w="1641"/>
        <w:gridCol w:w="920"/>
        <w:gridCol w:w="920"/>
        <w:gridCol w:w="920"/>
        <w:gridCol w:w="920"/>
        <w:gridCol w:w="920"/>
        <w:gridCol w:w="919"/>
      </w:tblGrid>
      <w:tr w:rsidR="000B6294" w:rsidRPr="00AE4884" w14:paraId="30CDF825" w14:textId="77777777" w:rsidTr="00B6635E">
        <w:trPr>
          <w:trHeight w:val="630"/>
        </w:trPr>
        <w:tc>
          <w:tcPr>
            <w:tcW w:w="8779" w:type="dxa"/>
            <w:gridSpan w:val="8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06293D4" w14:textId="77777777" w:rsidR="000B6294" w:rsidRPr="00AE4884" w:rsidRDefault="000B6294" w:rsidP="00B6635E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Supplementary Table 1: Updated ADO regression coefficients and assignment of points for the score</w:t>
            </w:r>
          </w:p>
        </w:tc>
      </w:tr>
      <w:tr w:rsidR="000B6294" w:rsidRPr="00AE4884" w14:paraId="1BBB0D9D" w14:textId="77777777" w:rsidTr="00B6635E">
        <w:trPr>
          <w:trHeight w:val="555"/>
        </w:trPr>
        <w:tc>
          <w:tcPr>
            <w:tcW w:w="161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8B56BE5" w14:textId="77777777" w:rsidR="000B6294" w:rsidRPr="00AE4884" w:rsidRDefault="000B6294" w:rsidP="00B6635E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Points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2F922D6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Regression</w:t>
            </w:r>
            <w:r w:rsidRPr="00AE4884">
              <w:rPr>
                <w:rFonts w:eastAsia="Times New Roman" w:cs="Calibri"/>
                <w:lang w:val="en-US"/>
              </w:rPr>
              <w:br/>
              <w:t>Coefficients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ABA1BC5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0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0C83EF7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2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D2460E0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3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7A52E5D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4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6F0A071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5</w:t>
            </w:r>
          </w:p>
        </w:tc>
        <w:tc>
          <w:tcPr>
            <w:tcW w:w="91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847F628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7</w:t>
            </w:r>
          </w:p>
        </w:tc>
      </w:tr>
      <w:tr w:rsidR="000B6294" w:rsidRPr="00AE4884" w14:paraId="6D278697" w14:textId="77777777" w:rsidTr="00B6635E">
        <w:trPr>
          <w:trHeight w:val="300"/>
        </w:trPr>
        <w:tc>
          <w:tcPr>
            <w:tcW w:w="1619" w:type="dxa"/>
            <w:shd w:val="clear" w:color="auto" w:fill="auto"/>
            <w:vAlign w:val="center"/>
          </w:tcPr>
          <w:p w14:paraId="7205F289" w14:textId="77777777" w:rsidR="000B6294" w:rsidRPr="00AE4884" w:rsidRDefault="000B6294" w:rsidP="00B6635E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Age (in years)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9365BF1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0.0703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721539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40 - 49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A52264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50 - 59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254BBE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7D783B3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60 - 69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E45566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70 - 79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FAD0F0F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≥80</w:t>
            </w:r>
          </w:p>
        </w:tc>
      </w:tr>
      <w:tr w:rsidR="000B6294" w:rsidRPr="00AE4884" w14:paraId="25E741E5" w14:textId="77777777" w:rsidTr="00B6635E">
        <w:trPr>
          <w:trHeight w:val="600"/>
        </w:trPr>
        <w:tc>
          <w:tcPr>
            <w:tcW w:w="1619" w:type="dxa"/>
            <w:shd w:val="clear" w:color="auto" w:fill="auto"/>
            <w:vAlign w:val="center"/>
          </w:tcPr>
          <w:p w14:paraId="20634E63" w14:textId="77777777" w:rsidR="000B6294" w:rsidRPr="00AE4884" w:rsidRDefault="000B6294" w:rsidP="00B6635E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proofErr w:type="spellStart"/>
            <w:r w:rsidRPr="00AE4884">
              <w:rPr>
                <w:rFonts w:eastAsia="Times New Roman" w:cs="Calibri"/>
                <w:lang w:val="en-US"/>
              </w:rPr>
              <w:t>Dyspnoea</w:t>
            </w:r>
            <w:proofErr w:type="spellEnd"/>
            <w:r w:rsidRPr="00AE4884">
              <w:rPr>
                <w:rFonts w:eastAsia="Times New Roman" w:cs="Calibri"/>
                <w:lang w:val="en-US"/>
              </w:rPr>
              <w:t xml:space="preserve"> (</w:t>
            </w:r>
            <w:proofErr w:type="spellStart"/>
            <w:r w:rsidRPr="00AE4884">
              <w:rPr>
                <w:rFonts w:eastAsia="Times New Roman" w:cs="Calibri"/>
                <w:lang w:val="en-US"/>
              </w:rPr>
              <w:t>mMRC</w:t>
            </w:r>
            <w:proofErr w:type="spellEnd"/>
            <w:r w:rsidRPr="00AE4884">
              <w:rPr>
                <w:rFonts w:eastAsia="Times New Roman" w:cs="Calibri"/>
                <w:lang w:val="en-US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CC2E570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0.2585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E8B960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1C80DA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287F11B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395E57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7E51F06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14:paraId="6BE406D6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</w:p>
        </w:tc>
      </w:tr>
      <w:tr w:rsidR="000B6294" w:rsidRPr="00AE4884" w14:paraId="2094CB50" w14:textId="77777777" w:rsidTr="00B6635E">
        <w:trPr>
          <w:trHeight w:val="600"/>
        </w:trPr>
        <w:tc>
          <w:tcPr>
            <w:tcW w:w="161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3D7B54D" w14:textId="77777777" w:rsidR="000B6294" w:rsidRPr="00AE4884" w:rsidRDefault="000B6294" w:rsidP="00B6635E">
            <w:pPr>
              <w:spacing w:after="0" w:line="240" w:lineRule="auto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FEV1% predicted</w:t>
            </w:r>
          </w:p>
        </w:tc>
        <w:tc>
          <w:tcPr>
            <w:tcW w:w="164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5530CE8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−0.0288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E231A7E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≥81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3BC1123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51 - 64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0EA62DB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36 - 50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ADF17D8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≤35</w:t>
            </w: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BA27A5C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 </w:t>
            </w:r>
          </w:p>
        </w:tc>
        <w:tc>
          <w:tcPr>
            <w:tcW w:w="91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33CDA71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eastAsia="Times New Roman" w:cs="Calibri"/>
                <w:lang w:val="en-US"/>
              </w:rPr>
            </w:pPr>
            <w:r w:rsidRPr="00AE4884">
              <w:rPr>
                <w:rFonts w:eastAsia="Times New Roman" w:cs="Calibri"/>
                <w:lang w:val="en-US"/>
              </w:rPr>
              <w:t> </w:t>
            </w:r>
          </w:p>
        </w:tc>
      </w:tr>
    </w:tbl>
    <w:p w14:paraId="074880A0" w14:textId="77777777" w:rsidR="000B6294" w:rsidRPr="00AE4884" w:rsidRDefault="000B6294" w:rsidP="000B6294">
      <w:pPr>
        <w:widowControl w:val="0"/>
        <w:spacing w:line="360" w:lineRule="auto"/>
        <w:ind w:left="640" w:hanging="640"/>
        <w:rPr>
          <w:lang w:val="en-US"/>
        </w:rPr>
      </w:pPr>
    </w:p>
    <w:tbl>
      <w:tblPr>
        <w:tblW w:w="7900" w:type="dxa"/>
        <w:tblInd w:w="93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20"/>
        <w:gridCol w:w="2061"/>
        <w:gridCol w:w="2060"/>
        <w:gridCol w:w="2059"/>
      </w:tblGrid>
      <w:tr w:rsidR="000B6294" w:rsidRPr="00AE4884" w14:paraId="28B9514C" w14:textId="77777777" w:rsidTr="00B6635E">
        <w:trPr>
          <w:trHeight w:val="540"/>
        </w:trPr>
        <w:tc>
          <w:tcPr>
            <w:tcW w:w="7899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7B3553" w14:textId="77777777" w:rsidR="000B6294" w:rsidRPr="00AE4884" w:rsidRDefault="000B6294" w:rsidP="00B6635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Supplementary Table 2: Sensitivity analysis of accuracy measures in complete cases and prevalent cases</w:t>
            </w:r>
          </w:p>
        </w:tc>
      </w:tr>
      <w:tr w:rsidR="000B6294" w:rsidRPr="00AE4884" w14:paraId="0642EC33" w14:textId="77777777" w:rsidTr="00B6635E">
        <w:trPr>
          <w:trHeight w:val="630"/>
        </w:trPr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870A786" w14:textId="77777777" w:rsidR="000B6294" w:rsidRPr="00AE4884" w:rsidRDefault="000B6294" w:rsidP="00B6635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 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D7B47E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Prevalent Cases</w:t>
            </w:r>
            <w:r w:rsidRPr="00AE4884">
              <w:rPr>
                <w:rFonts w:eastAsia="Times New Roman" w:cstheme="minorHAnsi"/>
                <w:lang w:val="en-US"/>
              </w:rPr>
              <w:br/>
              <w:t>(N= 1,562)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234266F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Whole sample </w:t>
            </w:r>
            <w:r w:rsidRPr="00AE4884">
              <w:rPr>
                <w:rFonts w:eastAsia="Times New Roman" w:cstheme="minorHAnsi"/>
                <w:lang w:val="en-US"/>
              </w:rPr>
              <w:br/>
              <w:t>(N= 1892)</w:t>
            </w:r>
          </w:p>
        </w:tc>
        <w:tc>
          <w:tcPr>
            <w:tcW w:w="20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5B32FF0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Complete Case</w:t>
            </w:r>
            <w:r w:rsidRPr="00AE4884">
              <w:rPr>
                <w:rFonts w:eastAsia="Times New Roman" w:cstheme="minorHAnsi"/>
                <w:lang w:val="en-US"/>
              </w:rPr>
              <w:br/>
              <w:t>(</w:t>
            </w:r>
            <w:proofErr w:type="gramStart"/>
            <w:r w:rsidRPr="00AE4884">
              <w:rPr>
                <w:rFonts w:eastAsia="Times New Roman" w:cstheme="minorHAnsi"/>
                <w:lang w:val="en-US"/>
              </w:rPr>
              <w:t>1,701)*</w:t>
            </w:r>
            <w:proofErr w:type="gramEnd"/>
          </w:p>
        </w:tc>
      </w:tr>
      <w:tr w:rsidR="000B6294" w:rsidRPr="00AE4884" w14:paraId="600AB049" w14:textId="77777777" w:rsidTr="00B6635E">
        <w:trPr>
          <w:trHeight w:val="555"/>
        </w:trPr>
        <w:tc>
          <w:tcPr>
            <w:tcW w:w="1719" w:type="dxa"/>
            <w:shd w:val="clear" w:color="auto" w:fill="auto"/>
            <w:vAlign w:val="bottom"/>
          </w:tcPr>
          <w:p w14:paraId="506C041E" w14:textId="77777777" w:rsidR="000B6294" w:rsidRPr="00AE4884" w:rsidRDefault="000B6294" w:rsidP="00B6635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AE4884">
              <w:rPr>
                <w:rFonts w:eastAsia="Times New Roman" w:cstheme="minorHAnsi"/>
                <w:b/>
                <w:bCs/>
                <w:lang w:val="en-US"/>
              </w:rPr>
              <w:t>1-year mortality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5AE6D773" w14:textId="77777777" w:rsidR="000B6294" w:rsidRPr="00AE4884" w:rsidRDefault="000B6294" w:rsidP="00B6635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64E44DD6" w14:textId="77777777" w:rsidR="000B6294" w:rsidRPr="00AE4884" w:rsidRDefault="000B6294" w:rsidP="00B6635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059" w:type="dxa"/>
            <w:shd w:val="clear" w:color="auto" w:fill="auto"/>
            <w:vAlign w:val="bottom"/>
          </w:tcPr>
          <w:p w14:paraId="258AFCA3" w14:textId="77777777" w:rsidR="000B6294" w:rsidRPr="00AE4884" w:rsidRDefault="000B6294" w:rsidP="00B6635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</w:tr>
      <w:tr w:rsidR="000B6294" w:rsidRPr="00AE4884" w14:paraId="028A5C62" w14:textId="77777777" w:rsidTr="00B6635E">
        <w:trPr>
          <w:trHeight w:val="300"/>
        </w:trPr>
        <w:tc>
          <w:tcPr>
            <w:tcW w:w="1719" w:type="dxa"/>
            <w:shd w:val="clear" w:color="auto" w:fill="auto"/>
            <w:vAlign w:val="bottom"/>
          </w:tcPr>
          <w:p w14:paraId="1519CDC5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No. of events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19F7AB9A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34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D7EECCA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37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194EE3EB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28</w:t>
            </w:r>
          </w:p>
        </w:tc>
      </w:tr>
      <w:tr w:rsidR="000B6294" w:rsidRPr="00AE4884" w14:paraId="0B19CF2B" w14:textId="77777777" w:rsidTr="00B6635E">
        <w:trPr>
          <w:trHeight w:val="600"/>
        </w:trPr>
        <w:tc>
          <w:tcPr>
            <w:tcW w:w="1719" w:type="dxa"/>
            <w:shd w:val="clear" w:color="auto" w:fill="auto"/>
            <w:vAlign w:val="bottom"/>
          </w:tcPr>
          <w:p w14:paraId="1106BCF3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AUC </w:t>
            </w:r>
            <w:r w:rsidRPr="00AE4884">
              <w:rPr>
                <w:rFonts w:eastAsia="Times New Roman" w:cstheme="minorHAnsi"/>
                <w:lang w:val="en-US"/>
              </w:rPr>
              <w:br/>
              <w:t>(95% CI)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4A8B633D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0.721 </w:t>
            </w:r>
            <w:r w:rsidRPr="00AE4884">
              <w:rPr>
                <w:rFonts w:eastAsia="Times New Roman" w:cstheme="minorHAnsi"/>
                <w:lang w:val="en-US"/>
              </w:rPr>
              <w:br/>
              <w:t>(0.657 to 0.786)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06AE50A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0.728 </w:t>
            </w:r>
            <w:r w:rsidRPr="00AE4884">
              <w:rPr>
                <w:rFonts w:eastAsia="Times New Roman" w:cstheme="minorHAnsi"/>
                <w:lang w:val="en-US"/>
              </w:rPr>
              <w:br/>
              <w:t>(0.661 to 0.796)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7FE18E37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0.717 </w:t>
            </w:r>
            <w:r w:rsidRPr="00AE4884">
              <w:rPr>
                <w:rFonts w:eastAsia="Times New Roman" w:cstheme="minorHAnsi"/>
                <w:lang w:val="en-US"/>
              </w:rPr>
              <w:br/>
              <w:t>(0.639 to 0.795)</w:t>
            </w:r>
          </w:p>
        </w:tc>
      </w:tr>
      <w:tr w:rsidR="000B6294" w:rsidRPr="00AE4884" w14:paraId="2CD61983" w14:textId="77777777" w:rsidTr="00B6635E">
        <w:trPr>
          <w:trHeight w:val="600"/>
        </w:trPr>
        <w:tc>
          <w:tcPr>
            <w:tcW w:w="1719" w:type="dxa"/>
            <w:shd w:val="clear" w:color="auto" w:fill="auto"/>
            <w:vAlign w:val="bottom"/>
          </w:tcPr>
          <w:p w14:paraId="782D4968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Calibration </w:t>
            </w:r>
            <w:r w:rsidRPr="00AE4884">
              <w:rPr>
                <w:rFonts w:eastAsia="Times New Roman" w:cstheme="minorHAnsi"/>
                <w:lang w:val="en-US"/>
              </w:rPr>
              <w:br/>
              <w:t>slope (95% CI)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7C662219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0.808 </w:t>
            </w:r>
            <w:r w:rsidRPr="00AE4884">
              <w:rPr>
                <w:rFonts w:eastAsia="Times New Roman" w:cstheme="minorHAnsi"/>
                <w:lang w:val="en-US"/>
              </w:rPr>
              <w:br/>
              <w:t>(0.434 to 1.182)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5371B14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0.794 </w:t>
            </w:r>
            <w:r w:rsidRPr="00AE4884">
              <w:rPr>
                <w:rFonts w:eastAsia="Times New Roman" w:cstheme="minorHAnsi"/>
                <w:lang w:val="en-US"/>
              </w:rPr>
              <w:br/>
              <w:t>(0.454 to 1.134)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5E16D429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0.727 </w:t>
            </w:r>
            <w:r w:rsidRPr="00AE4884">
              <w:rPr>
                <w:rFonts w:eastAsia="Times New Roman" w:cstheme="minorHAnsi"/>
                <w:lang w:val="en-US"/>
              </w:rPr>
              <w:br/>
              <w:t>(0.349 to 1.105)</w:t>
            </w:r>
          </w:p>
        </w:tc>
      </w:tr>
      <w:tr w:rsidR="000B6294" w:rsidRPr="00AE4884" w14:paraId="1AB6009D" w14:textId="77777777" w:rsidTr="00B6635E">
        <w:trPr>
          <w:trHeight w:val="300"/>
        </w:trPr>
        <w:tc>
          <w:tcPr>
            <w:tcW w:w="1719" w:type="dxa"/>
            <w:shd w:val="clear" w:color="auto" w:fill="auto"/>
            <w:vAlign w:val="bottom"/>
          </w:tcPr>
          <w:p w14:paraId="2C9D90A8" w14:textId="77777777" w:rsidR="000B6294" w:rsidRPr="00AE4884" w:rsidRDefault="000B6294" w:rsidP="00B6635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AE4884">
              <w:rPr>
                <w:rFonts w:eastAsia="Times New Roman" w:cstheme="minorHAnsi"/>
                <w:b/>
                <w:bCs/>
                <w:lang w:val="en-US"/>
              </w:rPr>
              <w:t>2-year mortality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33C33D3F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641166E9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059" w:type="dxa"/>
            <w:shd w:val="clear" w:color="auto" w:fill="auto"/>
            <w:vAlign w:val="bottom"/>
          </w:tcPr>
          <w:p w14:paraId="0AA5EE5C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</w:tr>
      <w:tr w:rsidR="000B6294" w:rsidRPr="00AE4884" w14:paraId="759C8FCF" w14:textId="77777777" w:rsidTr="00B6635E">
        <w:trPr>
          <w:trHeight w:val="300"/>
        </w:trPr>
        <w:tc>
          <w:tcPr>
            <w:tcW w:w="1719" w:type="dxa"/>
            <w:shd w:val="clear" w:color="auto" w:fill="auto"/>
            <w:vAlign w:val="bottom"/>
          </w:tcPr>
          <w:p w14:paraId="53423B8F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No. of events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2EF3C374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86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89DFF33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93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40541AFF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76</w:t>
            </w:r>
          </w:p>
        </w:tc>
      </w:tr>
      <w:tr w:rsidR="000B6294" w:rsidRPr="00AE4884" w14:paraId="2F18DD5F" w14:textId="77777777" w:rsidTr="00B6635E">
        <w:trPr>
          <w:trHeight w:val="600"/>
        </w:trPr>
        <w:tc>
          <w:tcPr>
            <w:tcW w:w="1719" w:type="dxa"/>
            <w:shd w:val="clear" w:color="auto" w:fill="auto"/>
            <w:vAlign w:val="bottom"/>
          </w:tcPr>
          <w:p w14:paraId="1245FCFA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AUC</w:t>
            </w:r>
            <w:r w:rsidRPr="00AE4884">
              <w:rPr>
                <w:rFonts w:eastAsia="Times New Roman" w:cstheme="minorHAnsi"/>
                <w:lang w:val="en-US"/>
              </w:rPr>
              <w:br/>
              <w:t xml:space="preserve"> (95% CI)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2206B134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0.712 </w:t>
            </w:r>
            <w:r w:rsidRPr="00AE4884">
              <w:rPr>
                <w:rFonts w:eastAsia="Times New Roman" w:cstheme="minorHAnsi"/>
                <w:lang w:val="en-US"/>
              </w:rPr>
              <w:br/>
              <w:t>(0.660 to 0.764)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5C8DC13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0.718 </w:t>
            </w:r>
            <w:r w:rsidRPr="00AE4884">
              <w:rPr>
                <w:rFonts w:eastAsia="Times New Roman" w:cstheme="minorHAnsi"/>
                <w:lang w:val="en-US"/>
              </w:rPr>
              <w:br/>
              <w:t>(0.666 to 0.760)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35AFA9FB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0.723</w:t>
            </w:r>
            <w:r w:rsidRPr="00AE4884">
              <w:rPr>
                <w:rFonts w:eastAsia="Times New Roman" w:cstheme="minorHAnsi"/>
                <w:lang w:val="en-US"/>
              </w:rPr>
              <w:br/>
              <w:t xml:space="preserve"> (0.669 to 0.784)</w:t>
            </w:r>
          </w:p>
        </w:tc>
      </w:tr>
      <w:tr w:rsidR="000B6294" w:rsidRPr="00AE4884" w14:paraId="6238C2E0" w14:textId="77777777" w:rsidTr="00B6635E">
        <w:trPr>
          <w:trHeight w:val="600"/>
        </w:trPr>
        <w:tc>
          <w:tcPr>
            <w:tcW w:w="1719" w:type="dxa"/>
            <w:shd w:val="clear" w:color="auto" w:fill="auto"/>
            <w:vAlign w:val="bottom"/>
          </w:tcPr>
          <w:p w14:paraId="67F16186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Calibration </w:t>
            </w:r>
            <w:r w:rsidRPr="00AE4884">
              <w:rPr>
                <w:rFonts w:eastAsia="Times New Roman" w:cstheme="minorHAnsi"/>
                <w:lang w:val="en-US"/>
              </w:rPr>
              <w:br/>
              <w:t>slope (95% CI)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32372D9E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0.803 </w:t>
            </w:r>
            <w:r w:rsidRPr="00AE4884">
              <w:rPr>
                <w:rFonts w:eastAsia="Times New Roman" w:cstheme="minorHAnsi"/>
                <w:lang w:val="en-US"/>
              </w:rPr>
              <w:br/>
              <w:t>(0.559 to 1.046)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9DDDB5F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0.789 </w:t>
            </w:r>
            <w:r w:rsidRPr="00AE4884">
              <w:rPr>
                <w:rFonts w:eastAsia="Times New Roman" w:cstheme="minorHAnsi"/>
                <w:lang w:val="en-US"/>
              </w:rPr>
              <w:br/>
              <w:t>(0.567 to 1.012)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1F357E3E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0.807 </w:t>
            </w:r>
            <w:r w:rsidRPr="00AE4884">
              <w:rPr>
                <w:rFonts w:eastAsia="Times New Roman" w:cstheme="minorHAnsi"/>
                <w:lang w:val="en-US"/>
              </w:rPr>
              <w:br/>
              <w:t>(0.566 tot 1.048)</w:t>
            </w:r>
          </w:p>
        </w:tc>
      </w:tr>
      <w:tr w:rsidR="000B6294" w:rsidRPr="00AE4884" w14:paraId="75DB7D68" w14:textId="77777777" w:rsidTr="00B6635E">
        <w:trPr>
          <w:trHeight w:val="300"/>
        </w:trPr>
        <w:tc>
          <w:tcPr>
            <w:tcW w:w="1719" w:type="dxa"/>
            <w:shd w:val="clear" w:color="auto" w:fill="auto"/>
            <w:vAlign w:val="bottom"/>
          </w:tcPr>
          <w:p w14:paraId="3698E79D" w14:textId="77777777" w:rsidR="000B6294" w:rsidRPr="00AE4884" w:rsidRDefault="000B6294" w:rsidP="00B6635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AE4884">
              <w:rPr>
                <w:rFonts w:eastAsia="Times New Roman" w:cstheme="minorHAnsi"/>
                <w:b/>
                <w:bCs/>
                <w:lang w:val="en-US"/>
              </w:rPr>
              <w:t>3-year mortality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22FA3C84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74F05C8E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  <w:tc>
          <w:tcPr>
            <w:tcW w:w="2059" w:type="dxa"/>
            <w:shd w:val="clear" w:color="auto" w:fill="auto"/>
            <w:vAlign w:val="bottom"/>
          </w:tcPr>
          <w:p w14:paraId="441BB42A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</w:p>
        </w:tc>
      </w:tr>
      <w:tr w:rsidR="000B6294" w:rsidRPr="00AE4884" w14:paraId="24B5A34F" w14:textId="77777777" w:rsidTr="00B6635E">
        <w:trPr>
          <w:trHeight w:val="300"/>
        </w:trPr>
        <w:tc>
          <w:tcPr>
            <w:tcW w:w="1719" w:type="dxa"/>
            <w:shd w:val="clear" w:color="auto" w:fill="auto"/>
            <w:vAlign w:val="bottom"/>
          </w:tcPr>
          <w:p w14:paraId="0066E9EF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No. of events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07291FB7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98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FB25133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98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06E1EFB5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124</w:t>
            </w:r>
          </w:p>
        </w:tc>
      </w:tr>
      <w:tr w:rsidR="000B6294" w:rsidRPr="00AE4884" w14:paraId="2F1FFC47" w14:textId="77777777" w:rsidTr="00B6635E">
        <w:trPr>
          <w:trHeight w:val="600"/>
        </w:trPr>
        <w:tc>
          <w:tcPr>
            <w:tcW w:w="1719" w:type="dxa"/>
            <w:shd w:val="clear" w:color="auto" w:fill="auto"/>
            <w:vAlign w:val="bottom"/>
          </w:tcPr>
          <w:p w14:paraId="6746DC26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AUC</w:t>
            </w:r>
            <w:r w:rsidRPr="00AE4884">
              <w:rPr>
                <w:rFonts w:eastAsia="Times New Roman" w:cstheme="minorHAnsi"/>
                <w:lang w:val="en-US"/>
              </w:rPr>
              <w:br/>
              <w:t xml:space="preserve"> (95% CI)</w:t>
            </w:r>
          </w:p>
        </w:tc>
        <w:tc>
          <w:tcPr>
            <w:tcW w:w="2061" w:type="dxa"/>
            <w:shd w:val="clear" w:color="auto" w:fill="auto"/>
            <w:vAlign w:val="bottom"/>
          </w:tcPr>
          <w:p w14:paraId="24787E77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0.738 </w:t>
            </w:r>
            <w:r w:rsidRPr="00AE4884">
              <w:rPr>
                <w:rFonts w:eastAsia="Times New Roman" w:cstheme="minorHAnsi"/>
                <w:lang w:val="en-US"/>
              </w:rPr>
              <w:br/>
              <w:t>(0.690 to 0.786)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D985AD8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>0.738</w:t>
            </w:r>
            <w:r w:rsidRPr="00AE4884">
              <w:rPr>
                <w:rFonts w:eastAsia="Times New Roman" w:cstheme="minorHAnsi"/>
                <w:lang w:val="en-US"/>
              </w:rPr>
              <w:br/>
              <w:t xml:space="preserve"> (0.690 to 0.786)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18E1F27A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0.773 </w:t>
            </w:r>
            <w:r w:rsidRPr="00AE4884">
              <w:rPr>
                <w:rFonts w:eastAsia="Times New Roman" w:cstheme="minorHAnsi"/>
                <w:lang w:val="en-US"/>
              </w:rPr>
              <w:br/>
              <w:t>(0.723 to 0.822)</w:t>
            </w:r>
          </w:p>
        </w:tc>
      </w:tr>
      <w:tr w:rsidR="000B6294" w:rsidRPr="00AE4884" w14:paraId="2D6A54B1" w14:textId="77777777" w:rsidTr="00B6635E">
        <w:trPr>
          <w:trHeight w:val="600"/>
        </w:trPr>
        <w:tc>
          <w:tcPr>
            <w:tcW w:w="17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91DEDFB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Calibration </w:t>
            </w:r>
            <w:r w:rsidRPr="00AE4884">
              <w:rPr>
                <w:rFonts w:eastAsia="Times New Roman" w:cstheme="minorHAnsi"/>
                <w:lang w:val="en-US"/>
              </w:rPr>
              <w:br/>
              <w:t>slope (95% CI)</w:t>
            </w:r>
          </w:p>
        </w:tc>
        <w:tc>
          <w:tcPr>
            <w:tcW w:w="206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3FAD40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0.945 </w:t>
            </w:r>
            <w:r w:rsidRPr="00AE4884">
              <w:rPr>
                <w:rFonts w:eastAsia="Times New Roman" w:cstheme="minorHAnsi"/>
                <w:lang w:val="en-US"/>
              </w:rPr>
              <w:br/>
              <w:t>(0.698 to 1.192)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1E6157E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0.945 </w:t>
            </w:r>
            <w:r w:rsidRPr="00AE4884">
              <w:rPr>
                <w:rFonts w:eastAsia="Times New Roman" w:cstheme="minorHAnsi"/>
                <w:lang w:val="en-US"/>
              </w:rPr>
              <w:br/>
              <w:t>(0.698 to 1.192)</w:t>
            </w:r>
          </w:p>
        </w:tc>
        <w:tc>
          <w:tcPr>
            <w:tcW w:w="20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2D340D0" w14:textId="77777777" w:rsidR="000B6294" w:rsidRPr="00AE4884" w:rsidRDefault="000B6294" w:rsidP="00B663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1.08 </w:t>
            </w:r>
            <w:r w:rsidRPr="00AE4884">
              <w:rPr>
                <w:rFonts w:eastAsia="Times New Roman" w:cstheme="minorHAnsi"/>
                <w:lang w:val="en-US"/>
              </w:rPr>
              <w:br/>
              <w:t>(0.801 to 1.361)</w:t>
            </w:r>
          </w:p>
        </w:tc>
      </w:tr>
      <w:tr w:rsidR="000B6294" w:rsidRPr="00AE4884" w14:paraId="21E9EFBD" w14:textId="77777777" w:rsidTr="00B6635E">
        <w:trPr>
          <w:trHeight w:val="960"/>
        </w:trPr>
        <w:tc>
          <w:tcPr>
            <w:tcW w:w="7899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3FCEB5" w14:textId="77777777" w:rsidR="000B6294" w:rsidRPr="00AE4884" w:rsidRDefault="000B6294" w:rsidP="00B6635E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AE4884">
              <w:rPr>
                <w:rFonts w:eastAsia="Times New Roman" w:cstheme="minorHAnsi"/>
                <w:lang w:val="en-US"/>
              </w:rPr>
              <w:t xml:space="preserve">*Only cases with complete </w:t>
            </w:r>
            <w:proofErr w:type="spellStart"/>
            <w:r w:rsidRPr="00AE4884">
              <w:rPr>
                <w:rFonts w:eastAsia="Times New Roman" w:cstheme="minorHAnsi"/>
                <w:lang w:val="en-US"/>
              </w:rPr>
              <w:t>dyspnoea</w:t>
            </w:r>
            <w:proofErr w:type="spellEnd"/>
            <w:r w:rsidRPr="00AE4884">
              <w:rPr>
                <w:rFonts w:eastAsia="Times New Roman" w:cstheme="minorHAnsi"/>
                <w:lang w:val="en-US"/>
              </w:rPr>
              <w:t xml:space="preserve"> and obstruction measurements.</w:t>
            </w:r>
            <w:r w:rsidRPr="00AE4884">
              <w:rPr>
                <w:rFonts w:eastAsia="Times New Roman" w:cstheme="minorHAnsi"/>
                <w:lang w:val="en-US"/>
              </w:rPr>
              <w:br/>
            </w:r>
          </w:p>
        </w:tc>
      </w:tr>
    </w:tbl>
    <w:p w14:paraId="269EF469" w14:textId="77777777" w:rsidR="000B6294" w:rsidRPr="00AE4884" w:rsidRDefault="000B6294" w:rsidP="000B6294">
      <w:pPr>
        <w:widowControl w:val="0"/>
        <w:spacing w:line="360" w:lineRule="auto"/>
        <w:ind w:left="640" w:hanging="640"/>
        <w:rPr>
          <w:lang w:val="en-US"/>
        </w:rPr>
      </w:pPr>
    </w:p>
    <w:p w14:paraId="3B133650" w14:textId="77777777" w:rsidR="00AA564E" w:rsidRDefault="00AA564E">
      <w:bookmarkStart w:id="0" w:name="_GoBack"/>
      <w:bookmarkEnd w:id="0"/>
    </w:p>
    <w:sectPr w:rsidR="00AA5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94"/>
    <w:rsid w:val="000B6294"/>
    <w:rsid w:val="00A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CB68"/>
  <w15:chartTrackingRefBased/>
  <w15:docId w15:val="{47E6F8E3-8783-4A41-9AF9-8BF8AAE0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294"/>
    <w:rPr>
      <w:rFonts w:ascii="Calibri" w:eastAsia="Calibri" w:hAnsi="Calibri" w:cs="Tahom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A9A11-7ED1-4FE9-9E86-782FFD686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B35D4-C4AE-4149-90D7-BB324244A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5C3B9-C8A0-4A40-BB21-7C9D157EBDC1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3cb5a929-a351-4e0f-b46b-be99a4aa8e8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Olliver</dc:creator>
  <cp:keywords/>
  <dc:description/>
  <cp:lastModifiedBy>Tania Olliver</cp:lastModifiedBy>
  <cp:revision>1</cp:revision>
  <dcterms:created xsi:type="dcterms:W3CDTF">2019-09-10T22:09:00Z</dcterms:created>
  <dcterms:modified xsi:type="dcterms:W3CDTF">2019-09-10T22:11:00Z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