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12420" w14:textId="324E7C9D" w:rsidR="00DD1A7A" w:rsidRPr="00DD1A7A" w:rsidRDefault="00DD1A7A" w:rsidP="00BA4D86">
      <w:pPr>
        <w:spacing w:afterLines="50" w:after="156" w:line="240" w:lineRule="auto"/>
        <w:rPr>
          <w:rFonts w:eastAsiaTheme="minorEastAsia"/>
          <w:b/>
          <w:color w:val="000000" w:themeColor="text1"/>
          <w:sz w:val="21"/>
          <w:szCs w:val="21"/>
        </w:rPr>
      </w:pPr>
      <w:r w:rsidRPr="00DD1A7A">
        <w:rPr>
          <w:rFonts w:eastAsiaTheme="minorEastAsia"/>
          <w:b/>
          <w:color w:val="000000" w:themeColor="text1"/>
          <w:sz w:val="21"/>
          <w:szCs w:val="21"/>
        </w:rPr>
        <w:t>Supplementary materials</w:t>
      </w:r>
      <w:bookmarkStart w:id="0" w:name="_GoBack"/>
      <w:bookmarkEnd w:id="0"/>
    </w:p>
    <w:p w14:paraId="68999CDD" w14:textId="77777777" w:rsidR="00DD1A7A" w:rsidRDefault="00DD1A7A" w:rsidP="00BA4D86">
      <w:pPr>
        <w:spacing w:afterLines="50" w:after="156" w:line="240" w:lineRule="auto"/>
        <w:rPr>
          <w:rFonts w:eastAsiaTheme="minorEastAsia"/>
          <w:b/>
          <w:color w:val="FF0000"/>
          <w:sz w:val="21"/>
          <w:szCs w:val="21"/>
        </w:rPr>
      </w:pPr>
    </w:p>
    <w:p w14:paraId="7185458B" w14:textId="2AF3DE08" w:rsidR="00BA4D86" w:rsidRPr="00513ACB" w:rsidRDefault="00BA4D86" w:rsidP="00BA4D86">
      <w:pPr>
        <w:spacing w:afterLines="50" w:after="156" w:line="240" w:lineRule="auto"/>
        <w:rPr>
          <w:rFonts w:eastAsiaTheme="minorEastAsia"/>
          <w:b/>
          <w:color w:val="FF0000"/>
          <w:sz w:val="21"/>
          <w:szCs w:val="21"/>
        </w:rPr>
      </w:pPr>
      <w:r w:rsidRPr="00513ACB">
        <w:rPr>
          <w:rFonts w:eastAsiaTheme="minorEastAsia"/>
          <w:b/>
          <w:color w:val="FF0000"/>
          <w:sz w:val="21"/>
          <w:szCs w:val="21"/>
        </w:rPr>
        <w:t>Supplementary Table 1. The overlapping of pain symptoms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BA4D86" w:rsidRPr="00BA4D86" w14:paraId="16BAF8FF" w14:textId="77777777" w:rsidTr="00E86F5B"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20C9CFF9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Number of patients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C3B47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Pain symptoms</w:t>
            </w:r>
          </w:p>
        </w:tc>
      </w:tr>
      <w:tr w:rsidR="00BA4D86" w:rsidRPr="00BA4D86" w14:paraId="0F280772" w14:textId="77777777" w:rsidTr="00E86F5B"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1DEF1F30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C3206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Dysmenorrhea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81C39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CPP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F7CEA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bCs/>
                <w:sz w:val="20"/>
                <w:szCs w:val="20"/>
              </w:rPr>
              <w:t>Dyspareunia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7FE6A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bCs/>
                <w:sz w:val="20"/>
                <w:szCs w:val="20"/>
              </w:rPr>
              <w:t>Anorectal pain</w:t>
            </w:r>
          </w:p>
        </w:tc>
      </w:tr>
      <w:tr w:rsidR="00BA4D86" w:rsidRPr="00BA4D86" w14:paraId="7E639D70" w14:textId="77777777" w:rsidTr="00E86F5B"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0DB25937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131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0E153A52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5F6B1D20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2B493D74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14:paraId="33C7430A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</w:tr>
      <w:tr w:rsidR="00BA4D86" w:rsidRPr="00BA4D86" w14:paraId="7F37ECD4" w14:textId="77777777" w:rsidTr="00E86F5B">
        <w:tc>
          <w:tcPr>
            <w:tcW w:w="1659" w:type="dxa"/>
            <w:vAlign w:val="center"/>
          </w:tcPr>
          <w:p w14:paraId="4E9BC47A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10</w:t>
            </w:r>
          </w:p>
        </w:tc>
        <w:tc>
          <w:tcPr>
            <w:tcW w:w="1659" w:type="dxa"/>
            <w:vAlign w:val="center"/>
          </w:tcPr>
          <w:p w14:paraId="48CD60A6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0A01A277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59" w:type="dxa"/>
            <w:vAlign w:val="center"/>
          </w:tcPr>
          <w:p w14:paraId="7BC260C1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B06CEC9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</w:tr>
      <w:tr w:rsidR="00BA4D86" w:rsidRPr="00BA4D86" w14:paraId="581853C9" w14:textId="77777777" w:rsidTr="00E86F5B">
        <w:tc>
          <w:tcPr>
            <w:tcW w:w="1659" w:type="dxa"/>
            <w:vAlign w:val="center"/>
          </w:tcPr>
          <w:p w14:paraId="1F856BF1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2</w:t>
            </w:r>
          </w:p>
        </w:tc>
        <w:tc>
          <w:tcPr>
            <w:tcW w:w="1659" w:type="dxa"/>
            <w:vAlign w:val="center"/>
          </w:tcPr>
          <w:p w14:paraId="5C8AB7D1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50BAC0C4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2781F200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60" w:type="dxa"/>
            <w:vAlign w:val="center"/>
          </w:tcPr>
          <w:p w14:paraId="3F2DB8D3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</w:tr>
      <w:tr w:rsidR="00BA4D86" w:rsidRPr="00BA4D86" w14:paraId="68A04B58" w14:textId="77777777" w:rsidTr="00E86F5B">
        <w:tc>
          <w:tcPr>
            <w:tcW w:w="1659" w:type="dxa"/>
            <w:vAlign w:val="center"/>
          </w:tcPr>
          <w:p w14:paraId="38533DC1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42</w:t>
            </w:r>
          </w:p>
        </w:tc>
        <w:tc>
          <w:tcPr>
            <w:tcW w:w="1659" w:type="dxa"/>
            <w:vAlign w:val="center"/>
          </w:tcPr>
          <w:p w14:paraId="6C74F8FE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59" w:type="dxa"/>
            <w:vAlign w:val="center"/>
          </w:tcPr>
          <w:p w14:paraId="5E8106FB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59" w:type="dxa"/>
            <w:vAlign w:val="center"/>
          </w:tcPr>
          <w:p w14:paraId="16F5BBCE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C328189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</w:tr>
      <w:tr w:rsidR="00BA4D86" w:rsidRPr="00BA4D86" w14:paraId="7191C2A4" w14:textId="77777777" w:rsidTr="00E86F5B">
        <w:tc>
          <w:tcPr>
            <w:tcW w:w="1659" w:type="dxa"/>
            <w:vAlign w:val="center"/>
          </w:tcPr>
          <w:p w14:paraId="6877626E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8</w:t>
            </w:r>
          </w:p>
        </w:tc>
        <w:tc>
          <w:tcPr>
            <w:tcW w:w="1659" w:type="dxa"/>
            <w:vAlign w:val="center"/>
          </w:tcPr>
          <w:p w14:paraId="470812A4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59" w:type="dxa"/>
            <w:vAlign w:val="center"/>
          </w:tcPr>
          <w:p w14:paraId="1BC00103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2FF384FE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60" w:type="dxa"/>
            <w:vAlign w:val="center"/>
          </w:tcPr>
          <w:p w14:paraId="2C41C0E4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</w:tr>
      <w:tr w:rsidR="00BA4D86" w:rsidRPr="00BA4D86" w14:paraId="326E1059" w14:textId="77777777" w:rsidTr="00E86F5B">
        <w:tc>
          <w:tcPr>
            <w:tcW w:w="1659" w:type="dxa"/>
            <w:vAlign w:val="center"/>
          </w:tcPr>
          <w:p w14:paraId="7FE50948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11</w:t>
            </w:r>
          </w:p>
        </w:tc>
        <w:tc>
          <w:tcPr>
            <w:tcW w:w="1659" w:type="dxa"/>
            <w:vAlign w:val="center"/>
          </w:tcPr>
          <w:p w14:paraId="10A20B2A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59" w:type="dxa"/>
            <w:vAlign w:val="center"/>
          </w:tcPr>
          <w:p w14:paraId="33931569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59" w:type="dxa"/>
            <w:vAlign w:val="center"/>
          </w:tcPr>
          <w:p w14:paraId="2CA93E1A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60" w:type="dxa"/>
            <w:vAlign w:val="center"/>
          </w:tcPr>
          <w:p w14:paraId="73C046EE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</w:tr>
      <w:tr w:rsidR="00BA4D86" w:rsidRPr="00BA4D86" w14:paraId="76F03FB3" w14:textId="77777777" w:rsidTr="00E86F5B">
        <w:tc>
          <w:tcPr>
            <w:tcW w:w="1659" w:type="dxa"/>
            <w:vAlign w:val="center"/>
          </w:tcPr>
          <w:p w14:paraId="4375F1C9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1659" w:type="dxa"/>
            <w:vAlign w:val="center"/>
          </w:tcPr>
          <w:p w14:paraId="1EC9827D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59" w:type="dxa"/>
            <w:vAlign w:val="center"/>
          </w:tcPr>
          <w:p w14:paraId="339FC06A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59" w:type="dxa"/>
            <w:vAlign w:val="center"/>
          </w:tcPr>
          <w:p w14:paraId="12A57588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09A9FC5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</w:tr>
      <w:tr w:rsidR="00BA4D86" w:rsidRPr="00BA4D86" w14:paraId="3CAE0E2E" w14:textId="77777777" w:rsidTr="00E86F5B">
        <w:tc>
          <w:tcPr>
            <w:tcW w:w="1659" w:type="dxa"/>
            <w:vAlign w:val="center"/>
          </w:tcPr>
          <w:p w14:paraId="79C8AF09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1</w:t>
            </w:r>
          </w:p>
        </w:tc>
        <w:tc>
          <w:tcPr>
            <w:tcW w:w="1659" w:type="dxa"/>
            <w:vAlign w:val="center"/>
          </w:tcPr>
          <w:p w14:paraId="22EFD399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65955AA3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59" w:type="dxa"/>
            <w:vAlign w:val="center"/>
          </w:tcPr>
          <w:p w14:paraId="2DC3190D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60" w:type="dxa"/>
            <w:vAlign w:val="center"/>
          </w:tcPr>
          <w:p w14:paraId="30A4C889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</w:tr>
      <w:tr w:rsidR="00BA4D86" w:rsidRPr="00BA4D86" w14:paraId="177DA334" w14:textId="77777777" w:rsidTr="00E86F5B">
        <w:tc>
          <w:tcPr>
            <w:tcW w:w="1659" w:type="dxa"/>
            <w:vAlign w:val="center"/>
          </w:tcPr>
          <w:p w14:paraId="7C62CF74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2</w:t>
            </w:r>
          </w:p>
        </w:tc>
        <w:tc>
          <w:tcPr>
            <w:tcW w:w="1659" w:type="dxa"/>
            <w:vAlign w:val="center"/>
          </w:tcPr>
          <w:p w14:paraId="75BD7FB0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59" w:type="dxa"/>
            <w:vAlign w:val="center"/>
          </w:tcPr>
          <w:p w14:paraId="01D8682B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59" w:type="dxa"/>
            <w:vAlign w:val="center"/>
          </w:tcPr>
          <w:p w14:paraId="6620FC61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  <w:tc>
          <w:tcPr>
            <w:tcW w:w="1660" w:type="dxa"/>
            <w:vAlign w:val="center"/>
          </w:tcPr>
          <w:p w14:paraId="1A7F0F60" w14:textId="77777777" w:rsidR="00BA4D86" w:rsidRPr="00BA4D86" w:rsidRDefault="00BA4D86" w:rsidP="00E86F5B">
            <w:pPr>
              <w:spacing w:afterLines="50" w:after="156" w:line="240" w:lineRule="auto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√</w:t>
            </w:r>
          </w:p>
        </w:tc>
      </w:tr>
    </w:tbl>
    <w:p w14:paraId="49EAC6C0" w14:textId="77777777" w:rsidR="00BA4D86" w:rsidRPr="00BA4D86" w:rsidRDefault="00BA4D86" w:rsidP="00BA4D86">
      <w:pPr>
        <w:spacing w:line="240" w:lineRule="auto"/>
        <w:rPr>
          <w:rFonts w:eastAsiaTheme="minorEastAsia"/>
          <w:b/>
          <w:sz w:val="21"/>
          <w:szCs w:val="21"/>
        </w:rPr>
      </w:pPr>
      <w:r w:rsidRPr="00BA4D86">
        <w:rPr>
          <w:rFonts w:eastAsiaTheme="minorEastAsia"/>
          <w:b/>
          <w:sz w:val="21"/>
          <w:szCs w:val="21"/>
        </w:rPr>
        <w:t xml:space="preserve"> </w:t>
      </w:r>
      <w:r w:rsidRPr="00BA4D86">
        <w:rPr>
          <w:rFonts w:eastAsiaTheme="minorEastAsia"/>
          <w:sz w:val="21"/>
          <w:szCs w:val="21"/>
        </w:rPr>
        <w:t>Abbreviation: CPP, chronic pelvic pain</w:t>
      </w:r>
    </w:p>
    <w:p w14:paraId="1EAE2496" w14:textId="77777777" w:rsidR="00B93EDF" w:rsidRPr="00BA4D86" w:rsidRDefault="00B93EDF" w:rsidP="00981174"/>
    <w:p w14:paraId="11D3A031" w14:textId="77777777" w:rsidR="00B93EDF" w:rsidRPr="00BA4D86" w:rsidRDefault="00B93EDF">
      <w:pPr>
        <w:widowControl/>
        <w:spacing w:line="240" w:lineRule="auto"/>
        <w:jc w:val="left"/>
      </w:pPr>
      <w:r w:rsidRPr="00BA4D86">
        <w:br w:type="page"/>
      </w:r>
    </w:p>
    <w:p w14:paraId="7282CBF7" w14:textId="69678752" w:rsidR="00B93EDF" w:rsidRPr="00513ACB" w:rsidRDefault="00734051" w:rsidP="00B93EDF">
      <w:pPr>
        <w:spacing w:afterLines="50" w:after="156" w:line="240" w:lineRule="auto"/>
        <w:rPr>
          <w:rFonts w:eastAsiaTheme="minorEastAsia"/>
          <w:b/>
          <w:color w:val="FF0000"/>
          <w:sz w:val="21"/>
          <w:szCs w:val="21"/>
        </w:rPr>
      </w:pPr>
      <w:r w:rsidRPr="00513ACB">
        <w:rPr>
          <w:rFonts w:eastAsiaTheme="minorEastAsia"/>
          <w:b/>
          <w:color w:val="FF0000"/>
          <w:sz w:val="21"/>
          <w:szCs w:val="21"/>
        </w:rPr>
        <w:lastRenderedPageBreak/>
        <w:t xml:space="preserve">Supplementary </w:t>
      </w:r>
      <w:r w:rsidR="00B93EDF" w:rsidRPr="00513ACB">
        <w:rPr>
          <w:rFonts w:eastAsiaTheme="minorEastAsia"/>
          <w:b/>
          <w:color w:val="FF0000"/>
          <w:sz w:val="21"/>
          <w:szCs w:val="21"/>
        </w:rPr>
        <w:t xml:space="preserve">Table </w:t>
      </w:r>
      <w:r w:rsidR="00BA4D86" w:rsidRPr="00513ACB">
        <w:rPr>
          <w:rFonts w:eastAsiaTheme="minorEastAsia"/>
          <w:b/>
          <w:color w:val="FF0000"/>
          <w:sz w:val="21"/>
          <w:szCs w:val="21"/>
        </w:rPr>
        <w:t>2</w:t>
      </w:r>
      <w:r w:rsidR="00B93EDF" w:rsidRPr="00513ACB">
        <w:rPr>
          <w:rFonts w:eastAsiaTheme="minorEastAsia"/>
          <w:b/>
          <w:color w:val="FF0000"/>
          <w:sz w:val="21"/>
          <w:szCs w:val="21"/>
        </w:rPr>
        <w:t>. The comparison between adenomyosis patients with or without dysmenorrhea.</w:t>
      </w:r>
    </w:p>
    <w:tbl>
      <w:tblPr>
        <w:tblW w:w="87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985"/>
        <w:gridCol w:w="2126"/>
        <w:gridCol w:w="1559"/>
      </w:tblGrid>
      <w:tr w:rsidR="00B93EDF" w:rsidRPr="00BA4D86" w14:paraId="12FBEFCC" w14:textId="77777777" w:rsidTr="007D26A3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7B8E5" w14:textId="1B494309" w:rsidR="00B93EDF" w:rsidRPr="00BA4D86" w:rsidRDefault="00734051" w:rsidP="00734051">
            <w:pPr>
              <w:spacing w:line="240" w:lineRule="auto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sz w:val="21"/>
                <w:szCs w:val="21"/>
              </w:rPr>
              <w:t>Variables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CEDE6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sz w:val="21"/>
                <w:szCs w:val="21"/>
              </w:rPr>
              <w:t xml:space="preserve">Dysmenorrhea group </w:t>
            </w:r>
          </w:p>
          <w:p w14:paraId="3A9F800C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sz w:val="21"/>
                <w:szCs w:val="21"/>
              </w:rPr>
              <w:t>%(No.)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030FE" w14:textId="58C94E9D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sz w:val="21"/>
                <w:szCs w:val="21"/>
              </w:rPr>
              <w:t>None</w:t>
            </w:r>
            <w:r w:rsidRPr="00BA4D86">
              <w:rPr>
                <w:rFonts w:eastAsiaTheme="minorEastAsia"/>
                <w:bCs/>
                <w:sz w:val="21"/>
                <w:szCs w:val="21"/>
              </w:rPr>
              <w:t>-</w:t>
            </w:r>
            <w:r w:rsidRPr="00BA4D86">
              <w:rPr>
                <w:rFonts w:eastAsiaTheme="minorEastAsia"/>
                <w:b/>
                <w:sz w:val="21"/>
                <w:szCs w:val="21"/>
              </w:rPr>
              <w:t xml:space="preserve"> dysmenorrhea group</w:t>
            </w:r>
          </w:p>
          <w:p w14:paraId="66643193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sz w:val="21"/>
                <w:szCs w:val="21"/>
              </w:rPr>
              <w:t>%(No.)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EC22C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sz w:val="21"/>
                <w:szCs w:val="21"/>
              </w:rPr>
              <w:t>P</w:t>
            </w:r>
          </w:p>
        </w:tc>
      </w:tr>
      <w:tr w:rsidR="00B93EDF" w:rsidRPr="00BA4D86" w14:paraId="4B5A1563" w14:textId="77777777" w:rsidTr="007D26A3"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2B2878" w14:textId="77777777" w:rsidR="00B93EDF" w:rsidRPr="00BA4D86" w:rsidRDefault="00B93EDF" w:rsidP="001C2D41">
            <w:pPr>
              <w:spacing w:line="240" w:lineRule="auto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Number of patients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0BC68C0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0B4977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70E518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2B37DE16" w14:textId="77777777" w:rsidTr="007D26A3"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59F34809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Age at diagnose</w:t>
            </w:r>
          </w:p>
          <w:p w14:paraId="651F6FA3" w14:textId="13482DBC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(Median</w:t>
            </w:r>
            <w:r w:rsidR="001013ED" w:rsidRPr="00BA4D86">
              <w:rPr>
                <w:rFonts w:eastAsiaTheme="minorEastAsia"/>
                <w:sz w:val="21"/>
                <w:szCs w:val="21"/>
              </w:rPr>
              <w:t xml:space="preserve"> </w:t>
            </w:r>
            <w:r w:rsidRPr="00BA4D86">
              <w:rPr>
                <w:rFonts w:eastAsiaTheme="minorEastAsia"/>
                <w:sz w:val="21"/>
                <w:szCs w:val="21"/>
              </w:rPr>
              <w:t>[IQR], y)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020AAF6A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6EF817E6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40.0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34.0-44.0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3EB9BAB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763C8EBD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42.0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36.0-46.0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C3CD276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1462BEA1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P=0.012*</w:t>
            </w:r>
          </w:p>
        </w:tc>
      </w:tr>
      <w:tr w:rsidR="00B93EDF" w:rsidRPr="00BA4D86" w14:paraId="7BE4586D" w14:textId="77777777" w:rsidTr="007D26A3"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194FC34B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Age at onset of disease</w:t>
            </w:r>
          </w:p>
          <w:p w14:paraId="2403CACC" w14:textId="0B692570" w:rsidR="00B93EDF" w:rsidRPr="00BA4D86" w:rsidRDefault="00B93EDF" w:rsidP="001C2D41">
            <w:pPr>
              <w:spacing w:line="240" w:lineRule="auto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(Median</w:t>
            </w:r>
            <w:r w:rsidR="001013ED" w:rsidRPr="00BA4D86">
              <w:rPr>
                <w:rFonts w:eastAsiaTheme="minorEastAsia"/>
                <w:sz w:val="21"/>
                <w:szCs w:val="21"/>
              </w:rPr>
              <w:t xml:space="preserve"> </w:t>
            </w:r>
            <w:r w:rsidRPr="00BA4D86">
              <w:rPr>
                <w:rFonts w:eastAsiaTheme="minorEastAsia"/>
                <w:sz w:val="21"/>
                <w:szCs w:val="21"/>
              </w:rPr>
              <w:t>[IQR], y)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4087B09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308DE7A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33.0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29.0-39.0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4EFC8287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482849DD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36.0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30.0-42.0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4CA66E70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27E79FA6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P=0.012*</w:t>
            </w:r>
          </w:p>
        </w:tc>
      </w:tr>
      <w:tr w:rsidR="00B93EDF" w:rsidRPr="00BA4D86" w14:paraId="00414313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1457D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 xml:space="preserve">Interval between onset and diagnose   </w:t>
            </w:r>
          </w:p>
          <w:p w14:paraId="51737180" w14:textId="5BCE02AB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(Median</w:t>
            </w:r>
            <w:r w:rsidR="001013ED" w:rsidRPr="00BA4D86">
              <w:rPr>
                <w:rFonts w:eastAsiaTheme="minorEastAsia"/>
                <w:sz w:val="21"/>
                <w:szCs w:val="21"/>
              </w:rPr>
              <w:t xml:space="preserve"> </w:t>
            </w:r>
            <w:r w:rsidRPr="00BA4D86">
              <w:rPr>
                <w:rFonts w:eastAsiaTheme="minorEastAsia"/>
                <w:sz w:val="21"/>
                <w:szCs w:val="21"/>
              </w:rPr>
              <w:t>[IQR], d)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611F8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337C391A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4.0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2.0-7.0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76466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13C3819D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4.0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2.0-7.0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00E5E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70441E0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P=0.375</w:t>
            </w:r>
          </w:p>
        </w:tc>
      </w:tr>
      <w:tr w:rsidR="00B93EDF" w:rsidRPr="00BA4D86" w14:paraId="72C364E6" w14:textId="77777777" w:rsidTr="007D26A3"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14:paraId="62B6D07F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Age of menarche</w:t>
            </w:r>
          </w:p>
          <w:p w14:paraId="1A697281" w14:textId="57E27B78" w:rsidR="00B93EDF" w:rsidRPr="00BA4D86" w:rsidRDefault="00B93EDF" w:rsidP="001C2D41">
            <w:pPr>
              <w:spacing w:line="240" w:lineRule="auto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(Median</w:t>
            </w:r>
            <w:r w:rsidR="001013ED" w:rsidRPr="00BA4D86">
              <w:rPr>
                <w:rFonts w:eastAsiaTheme="minorEastAsia"/>
                <w:sz w:val="21"/>
                <w:szCs w:val="21"/>
              </w:rPr>
              <w:t xml:space="preserve"> </w:t>
            </w:r>
            <w:r w:rsidRPr="00BA4D86">
              <w:rPr>
                <w:rFonts w:eastAsiaTheme="minorEastAsia"/>
                <w:sz w:val="21"/>
                <w:szCs w:val="21"/>
              </w:rPr>
              <w:t>[IQR], y)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5A5A82F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5D5F6891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14.0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13.0-15.0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14:paraId="303B61E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7127FC50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14.0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13.0-15.0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26076CA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05DFB8DB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P=0.765</w:t>
            </w:r>
          </w:p>
        </w:tc>
      </w:tr>
      <w:tr w:rsidR="00B93EDF" w:rsidRPr="00BA4D86" w14:paraId="0EE62ABA" w14:textId="77777777" w:rsidTr="007D26A3"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4D02C65D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 xml:space="preserve">Duration of </w:t>
            </w:r>
            <w:proofErr w:type="spellStart"/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mense</w:t>
            </w:r>
            <w:proofErr w:type="spellEnd"/>
          </w:p>
          <w:p w14:paraId="7E80AC88" w14:textId="26A7979E" w:rsidR="00B93EDF" w:rsidRPr="00BA4D86" w:rsidRDefault="00B93EDF" w:rsidP="001C2D41">
            <w:pPr>
              <w:spacing w:line="240" w:lineRule="auto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(Median</w:t>
            </w:r>
            <w:r w:rsidR="001013ED" w:rsidRPr="00BA4D86">
              <w:rPr>
                <w:rFonts w:eastAsiaTheme="minorEastAsia"/>
                <w:sz w:val="21"/>
                <w:szCs w:val="21"/>
              </w:rPr>
              <w:t xml:space="preserve"> </w:t>
            </w:r>
            <w:r w:rsidRPr="00BA4D86">
              <w:rPr>
                <w:rFonts w:eastAsiaTheme="minorEastAsia"/>
                <w:sz w:val="21"/>
                <w:szCs w:val="21"/>
              </w:rPr>
              <w:t>[IQR], d)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967D9F0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1020A1D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5.5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4.5-6.5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4EED337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7CDBE97D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5.5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4.5-6.5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B996662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66F98EBF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P=0.078</w:t>
            </w:r>
          </w:p>
        </w:tc>
      </w:tr>
      <w:tr w:rsidR="00B93EDF" w:rsidRPr="00BA4D86" w14:paraId="29430345" w14:textId="77777777" w:rsidTr="007D26A3"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2F01E648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 xml:space="preserve">Interval of </w:t>
            </w:r>
            <w:proofErr w:type="spellStart"/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mense</w:t>
            </w:r>
            <w:proofErr w:type="spellEnd"/>
          </w:p>
          <w:p w14:paraId="76EC2149" w14:textId="067046E4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(Median</w:t>
            </w:r>
            <w:r w:rsidR="001013ED" w:rsidRPr="00BA4D86">
              <w:rPr>
                <w:rFonts w:eastAsiaTheme="minorEastAsia"/>
                <w:sz w:val="21"/>
                <w:szCs w:val="21"/>
              </w:rPr>
              <w:t xml:space="preserve"> </w:t>
            </w:r>
            <w:r w:rsidRPr="00BA4D86">
              <w:rPr>
                <w:rFonts w:eastAsiaTheme="minorEastAsia"/>
                <w:sz w:val="21"/>
                <w:szCs w:val="21"/>
              </w:rPr>
              <w:t>[IQR], y)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5BC5D226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4F1BD38C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28.5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26.5-29.0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798F703B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0ED1877D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29.0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27.0-29.0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17478A3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2E8E6EF2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P=0.397</w:t>
            </w:r>
          </w:p>
        </w:tc>
      </w:tr>
      <w:tr w:rsidR="00B93EDF" w:rsidRPr="00BA4D86" w14:paraId="09437B44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1413E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Gravidity (n)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08C76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979C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10117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765E1AA4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CA41C" w14:textId="77777777" w:rsidR="00B93EDF" w:rsidRPr="00BA4D86" w:rsidRDefault="00B93EDF" w:rsidP="001C2D41">
            <w:pPr>
              <w:spacing w:line="240" w:lineRule="auto"/>
              <w:ind w:firstLineChars="135" w:firstLine="283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n=0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0C028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21.8%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26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88D48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26.8%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22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0D952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P=0.416</w:t>
            </w:r>
          </w:p>
        </w:tc>
      </w:tr>
      <w:tr w:rsidR="00B93EDF" w:rsidRPr="00BA4D86" w14:paraId="42A72D27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10F86" w14:textId="046AFBFE" w:rsidR="00B93EDF" w:rsidRPr="00BA4D86" w:rsidRDefault="008B2DA4" w:rsidP="001C2D41">
            <w:pPr>
              <w:spacing w:line="240" w:lineRule="auto"/>
              <w:ind w:firstLineChars="135" w:firstLine="283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n&gt;=1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D4A97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78.2% (93)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36490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73.2% (60)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BCC2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140FA2F0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005F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Parity (n)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6EFC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EEF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485D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73E37924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A8124" w14:textId="77777777" w:rsidR="00B93EDF" w:rsidRPr="00BA4D86" w:rsidRDefault="00B93EDF" w:rsidP="001C2D41">
            <w:pPr>
              <w:spacing w:line="240" w:lineRule="auto"/>
              <w:ind w:firstLineChars="135" w:firstLine="283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n=0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2582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43.8%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57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0C77E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40.0%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36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E96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P=0.570</w:t>
            </w:r>
          </w:p>
        </w:tc>
      </w:tr>
      <w:tr w:rsidR="00B93EDF" w:rsidRPr="00BA4D86" w14:paraId="266C3B70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55C8" w14:textId="4EECBA9F" w:rsidR="00B93EDF" w:rsidRPr="00BA4D86" w:rsidRDefault="008B2DA4" w:rsidP="001C2D41">
            <w:pPr>
              <w:spacing w:line="240" w:lineRule="auto"/>
              <w:ind w:firstLineChars="135" w:firstLine="283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n&gt;=1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6D5A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56.2% (73)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FA5EA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60.0% (54)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BC9B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775614B9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0EE59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Menorrhagia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48F6E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F4EE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2F7B8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7B7166E3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5F6F7" w14:textId="77777777" w:rsidR="00B93EDF" w:rsidRPr="00BA4D86" w:rsidRDefault="00B93EDF" w:rsidP="001C2D41">
            <w:pPr>
              <w:spacing w:line="240" w:lineRule="auto"/>
              <w:ind w:firstLineChars="135" w:firstLine="283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Yes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0420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22.1%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29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15697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28.0%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26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3AF1A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P=0.319</w:t>
            </w:r>
          </w:p>
        </w:tc>
      </w:tr>
      <w:tr w:rsidR="00B93EDF" w:rsidRPr="00BA4D86" w14:paraId="1D76EE10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08A0" w14:textId="77777777" w:rsidR="00B93EDF" w:rsidRPr="00BA4D86" w:rsidRDefault="00B93EDF" w:rsidP="001C2D41">
            <w:pPr>
              <w:spacing w:line="240" w:lineRule="auto"/>
              <w:ind w:firstLineChars="135" w:firstLine="283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8CD33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77.9% (102)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4E6A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72.0% (67)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19FA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4E16D844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7A337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Rectal irritation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D7928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DB6E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E2DFC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6F43B244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379A0" w14:textId="77777777" w:rsidR="00B93EDF" w:rsidRPr="00BA4D86" w:rsidRDefault="00B93EDF" w:rsidP="001C2D41">
            <w:pPr>
              <w:spacing w:line="240" w:lineRule="auto"/>
              <w:ind w:firstLineChars="150" w:firstLine="315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Yes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DCF8F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11.5%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15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0720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7.5%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7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3182F" w14:textId="17C6F6EA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P=0.3</w:t>
            </w:r>
            <w:r w:rsidR="00073CA6" w:rsidRPr="00BA4D86">
              <w:rPr>
                <w:rFonts w:eastAsiaTheme="minorEastAsia"/>
                <w:sz w:val="21"/>
                <w:szCs w:val="21"/>
              </w:rPr>
              <w:t>3</w:t>
            </w:r>
            <w:r w:rsidRPr="00BA4D86">
              <w:rPr>
                <w:rFonts w:eastAsiaTheme="minorEastAsia"/>
                <w:sz w:val="21"/>
                <w:szCs w:val="21"/>
              </w:rPr>
              <w:t>1</w:t>
            </w:r>
          </w:p>
        </w:tc>
      </w:tr>
      <w:tr w:rsidR="00B93EDF" w:rsidRPr="00BA4D86" w14:paraId="3460DE2D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AC9D3" w14:textId="77777777" w:rsidR="00B93EDF" w:rsidRPr="00BA4D86" w:rsidRDefault="00B93EDF" w:rsidP="001C2D41">
            <w:pPr>
              <w:spacing w:line="240" w:lineRule="auto"/>
              <w:ind w:firstLineChars="150" w:firstLine="315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D658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88.5% (116)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C45D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92.5% (86)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FBDCA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5E3A39BB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83E7E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Bladder irritation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20898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07820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4A5A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058F803C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5AF5E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  Yes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5B3B2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10.7%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14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B6198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7.5%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7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EB53" w14:textId="28FA67E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P=0.4</w:t>
            </w:r>
            <w:r w:rsidR="0070417F" w:rsidRPr="00BA4D86">
              <w:rPr>
                <w:rFonts w:eastAsiaTheme="minorEastAsia"/>
                <w:sz w:val="21"/>
                <w:szCs w:val="21"/>
              </w:rPr>
              <w:t>24</w:t>
            </w:r>
          </w:p>
        </w:tc>
      </w:tr>
      <w:tr w:rsidR="00B93EDF" w:rsidRPr="00BA4D86" w14:paraId="73150CCF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304C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  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4BDC8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89.3% (117)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18A5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92.5% (86)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4AF47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4A039474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4F1F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Pre-surgical HGB</w:t>
            </w:r>
          </w:p>
          <w:p w14:paraId="597D1DB8" w14:textId="1C5C5F0A" w:rsidR="00B93EDF" w:rsidRPr="00BA4D86" w:rsidRDefault="00B93EDF" w:rsidP="001C2D41">
            <w:pPr>
              <w:spacing w:line="240" w:lineRule="auto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[Median</w:t>
            </w:r>
            <w:r w:rsidR="001013ED" w:rsidRPr="00BA4D86">
              <w:rPr>
                <w:rFonts w:eastAsiaTheme="minorEastAsia"/>
                <w:sz w:val="21"/>
                <w:szCs w:val="21"/>
              </w:rPr>
              <w:t xml:space="preserve"> </w:t>
            </w:r>
            <w:r w:rsidRPr="00BA4D86">
              <w:rPr>
                <w:rFonts w:eastAsiaTheme="minorEastAsia"/>
                <w:sz w:val="21"/>
                <w:szCs w:val="21"/>
              </w:rPr>
              <w:t>(IQR), g/L]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A044C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3FB39307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127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116-135.8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C4EF4" w14:textId="77777777" w:rsidR="00B93EDF" w:rsidRPr="00BA4D86" w:rsidRDefault="00B93EDF" w:rsidP="007D26A3">
            <w:pPr>
              <w:spacing w:line="240" w:lineRule="auto"/>
              <w:rPr>
                <w:rFonts w:eastAsiaTheme="minorEastAsia"/>
                <w:sz w:val="21"/>
                <w:szCs w:val="21"/>
              </w:rPr>
            </w:pPr>
          </w:p>
          <w:p w14:paraId="440DD78F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127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109.0-135.0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3588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1B37E2C6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P=0.444</w:t>
            </w:r>
          </w:p>
        </w:tc>
      </w:tr>
      <w:tr w:rsidR="00B93EDF" w:rsidRPr="00BA4D86" w14:paraId="74A01382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30DC5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 xml:space="preserve">Pre-surgical </w:t>
            </w:r>
            <w:proofErr w:type="spellStart"/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GnRHa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3FA10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CF3D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2F8CF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4363795B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95B3C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  Yes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F420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20.6%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27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B359B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15.1%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14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46E2C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P=0.289</w:t>
            </w:r>
          </w:p>
        </w:tc>
      </w:tr>
      <w:tr w:rsidR="00B93EDF" w:rsidRPr="00BA4D86" w14:paraId="12852F74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37D10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  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1A2F6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79.4% (104)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56A2B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84.9% (79)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6D34E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2B2D84D1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A3FFF" w14:textId="1EB6BDAE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Pre-surgical Ca125 level</w:t>
            </w:r>
            <w:r w:rsidRPr="00BA4D86">
              <w:rPr>
                <w:rFonts w:eastAsiaTheme="minorEastAsia"/>
                <w:sz w:val="21"/>
                <w:szCs w:val="21"/>
              </w:rPr>
              <w:t xml:space="preserve"> [Median</w:t>
            </w:r>
            <w:r w:rsidR="001013ED" w:rsidRPr="00BA4D86">
              <w:rPr>
                <w:rFonts w:eastAsiaTheme="minorEastAsia"/>
                <w:sz w:val="21"/>
                <w:szCs w:val="21"/>
              </w:rPr>
              <w:t xml:space="preserve"> </w:t>
            </w:r>
            <w:r w:rsidRPr="00BA4D86">
              <w:rPr>
                <w:rFonts w:eastAsiaTheme="minorEastAsia"/>
                <w:sz w:val="21"/>
                <w:szCs w:val="21"/>
              </w:rPr>
              <w:t>(IQR), U/mL]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5DEB8" w14:textId="77777777" w:rsidR="00B93EDF" w:rsidRPr="00BA4D86" w:rsidRDefault="00B93EDF" w:rsidP="001C2D41">
            <w:pPr>
              <w:spacing w:line="240" w:lineRule="auto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92.3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45.3-174.1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E24D1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40.5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17.8-76.3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735F3" w14:textId="77777777" w:rsidR="00B93EDF" w:rsidRPr="00BA4D86" w:rsidRDefault="00B93EDF" w:rsidP="001C2D41">
            <w:pPr>
              <w:spacing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</w:t>
            </w:r>
            <w:r w:rsidRPr="00BA4D86">
              <w:rPr>
                <w:rFonts w:eastAsiaTheme="minorEastAsia"/>
                <w:sz w:val="21"/>
                <w:szCs w:val="21"/>
              </w:rPr>
              <w:t>＜</w:t>
            </w:r>
            <w:r w:rsidRPr="00BA4D86">
              <w:rPr>
                <w:rFonts w:eastAsiaTheme="minorEastAsia"/>
                <w:sz w:val="21"/>
                <w:szCs w:val="21"/>
              </w:rPr>
              <w:t>0.001*</w:t>
            </w:r>
          </w:p>
        </w:tc>
      </w:tr>
      <w:tr w:rsidR="00B93EDF" w:rsidRPr="00BA4D86" w14:paraId="3B0D2E27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D2217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Pre-surgical Ca125 elevated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18FDF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90460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9B0B7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26ACFA1E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06790" w14:textId="77777777" w:rsidR="00B93EDF" w:rsidRPr="00BA4D86" w:rsidRDefault="00B93EDF" w:rsidP="001C2D41">
            <w:pPr>
              <w:spacing w:line="240" w:lineRule="auto"/>
              <w:ind w:firstLineChars="118" w:firstLine="248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Yes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1A72D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85.0%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85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7351B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46.7%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28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CF26B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</w:t>
            </w:r>
            <w:r w:rsidRPr="00BA4D86">
              <w:rPr>
                <w:rFonts w:eastAsiaTheme="minorEastAsia"/>
                <w:sz w:val="21"/>
                <w:szCs w:val="21"/>
              </w:rPr>
              <w:t>＜</w:t>
            </w:r>
            <w:r w:rsidRPr="00BA4D86">
              <w:rPr>
                <w:rFonts w:eastAsiaTheme="minorEastAsia"/>
                <w:sz w:val="21"/>
                <w:szCs w:val="21"/>
              </w:rPr>
              <w:t>0.001*</w:t>
            </w:r>
          </w:p>
        </w:tc>
      </w:tr>
      <w:tr w:rsidR="00B93EDF" w:rsidRPr="00BA4D86" w14:paraId="54125A2B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257E" w14:textId="77777777" w:rsidR="00B93EDF" w:rsidRPr="00BA4D86" w:rsidRDefault="00B93EDF" w:rsidP="001C2D41">
            <w:pPr>
              <w:spacing w:line="240" w:lineRule="auto"/>
              <w:ind w:firstLineChars="118" w:firstLine="248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F2F63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15.0% (15)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9AFED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53.3% (32)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ECB18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5BED590D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A069A" w14:textId="71461DF6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lastRenderedPageBreak/>
              <w:t xml:space="preserve">Pre-surgical Ca199 level </w:t>
            </w:r>
            <w:r w:rsidRPr="00BA4D86">
              <w:rPr>
                <w:rFonts w:eastAsiaTheme="minorEastAsia"/>
                <w:sz w:val="21"/>
                <w:szCs w:val="21"/>
              </w:rPr>
              <w:t>[Median</w:t>
            </w:r>
            <w:r w:rsidR="007D26A3" w:rsidRPr="00BA4D86">
              <w:rPr>
                <w:rFonts w:eastAsiaTheme="minorEastAsia"/>
                <w:sz w:val="21"/>
                <w:szCs w:val="21"/>
              </w:rPr>
              <w:t xml:space="preserve"> </w:t>
            </w:r>
            <w:r w:rsidRPr="00BA4D86">
              <w:rPr>
                <w:rFonts w:eastAsiaTheme="minorEastAsia"/>
                <w:sz w:val="21"/>
                <w:szCs w:val="21"/>
              </w:rPr>
              <w:t>(IQR), U/mL]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C19C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17.7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10.8-30.2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5232F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14.5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7.0-28.3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397A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P=0.579</w:t>
            </w:r>
          </w:p>
        </w:tc>
      </w:tr>
      <w:tr w:rsidR="00B93EDF" w:rsidRPr="00BA4D86" w14:paraId="5A25A769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25D6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Parameter of ultrasound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E529D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44301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B3B7A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4D534733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45D27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 xml:space="preserve">Volume of uterus </w:t>
            </w:r>
          </w:p>
          <w:p w14:paraId="63C6A497" w14:textId="29F8611A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[Median</w:t>
            </w:r>
            <w:r w:rsidR="007D26A3" w:rsidRPr="00BA4D86">
              <w:rPr>
                <w:rFonts w:eastAsiaTheme="minorEastAsia"/>
                <w:sz w:val="21"/>
                <w:szCs w:val="21"/>
              </w:rPr>
              <w:t xml:space="preserve"> </w:t>
            </w:r>
            <w:r w:rsidRPr="00BA4D86">
              <w:rPr>
                <w:rFonts w:eastAsiaTheme="minorEastAsia"/>
                <w:sz w:val="21"/>
                <w:szCs w:val="21"/>
              </w:rPr>
              <w:t>(IQR), cm</w:t>
            </w:r>
            <w:r w:rsidRPr="00BA4D86">
              <w:rPr>
                <w:rFonts w:eastAsiaTheme="minorEastAsia"/>
                <w:sz w:val="21"/>
                <w:szCs w:val="21"/>
                <w:vertAlign w:val="superscript"/>
              </w:rPr>
              <w:t>3</w:t>
            </w:r>
            <w:r w:rsidRPr="00BA4D86">
              <w:rPr>
                <w:rFonts w:eastAsiaTheme="minorEastAsia"/>
                <w:sz w:val="21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525C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18A6EC82" w14:textId="77777777" w:rsidR="00B93EDF" w:rsidRPr="00BA4D86" w:rsidRDefault="00B93EDF" w:rsidP="001C2D41">
            <w:pPr>
              <w:spacing w:line="240" w:lineRule="auto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133.4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82.2-232.9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BE6F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67681387" w14:textId="77777777" w:rsidR="00B93EDF" w:rsidRPr="00BA4D86" w:rsidRDefault="00B93EDF" w:rsidP="001C2D41">
            <w:pPr>
              <w:spacing w:line="240" w:lineRule="auto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127.6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70.4-230.1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209AC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  <w:p w14:paraId="14F9C6FB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P=0.762</w:t>
            </w:r>
          </w:p>
        </w:tc>
      </w:tr>
      <w:tr w:rsidR="00B93EDF" w:rsidRPr="00BA4D86" w14:paraId="52D8DEDF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F5C54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Thicken myometrial layer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5AC1A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8340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05DBD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58DE4EC2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AE83A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  Yes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BE36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25.2%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33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F69DD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5.4%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5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D2AC3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</w:t>
            </w:r>
            <w:r w:rsidRPr="00BA4D86">
              <w:rPr>
                <w:rFonts w:eastAsiaTheme="minorEastAsia"/>
                <w:sz w:val="21"/>
                <w:szCs w:val="21"/>
              </w:rPr>
              <w:t>＜</w:t>
            </w:r>
            <w:r w:rsidRPr="00BA4D86">
              <w:rPr>
                <w:rFonts w:eastAsiaTheme="minorEastAsia"/>
                <w:sz w:val="21"/>
                <w:szCs w:val="21"/>
              </w:rPr>
              <w:t>0.001*</w:t>
            </w:r>
          </w:p>
        </w:tc>
      </w:tr>
      <w:tr w:rsidR="00B93EDF" w:rsidRPr="00BA4D86" w14:paraId="4E157C7B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05319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  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0D221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74.8% (98)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A12FB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94.6% (88)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6FC9A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6AACB8B7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5610A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Coexisting EM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874C1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3EBD3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AE41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479C8D80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7426E" w14:textId="77777777" w:rsidR="00B93EDF" w:rsidRPr="00BA4D86" w:rsidRDefault="00B93EDF" w:rsidP="001C2D41">
            <w:pPr>
              <w:spacing w:line="240" w:lineRule="auto"/>
              <w:ind w:firstLineChars="67" w:firstLine="141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 Yes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C8321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40.5%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53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448E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25.8%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24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E4EF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P=0.023*</w:t>
            </w:r>
          </w:p>
        </w:tc>
      </w:tr>
      <w:tr w:rsidR="00B93EDF" w:rsidRPr="00BA4D86" w14:paraId="5D86A73B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D37E6" w14:textId="77777777" w:rsidR="00B93EDF" w:rsidRPr="00BA4D86" w:rsidRDefault="00B93EDF" w:rsidP="001C2D41">
            <w:pPr>
              <w:spacing w:line="240" w:lineRule="auto"/>
              <w:ind w:firstLineChars="67" w:firstLine="141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 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4893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59.5%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78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AF6F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74.2%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69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00C0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78914040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A6857" w14:textId="77777777" w:rsidR="00B93EDF" w:rsidRPr="00BA4D86" w:rsidRDefault="00B93EDF" w:rsidP="007D26A3">
            <w:pPr>
              <w:spacing w:line="240" w:lineRule="auto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Degree of coexisting EM</w:t>
            </w:r>
            <w:r w:rsidRPr="00BA4D86">
              <w:rPr>
                <w:rFonts w:eastAsiaTheme="minorEastAsia"/>
                <w:sz w:val="21"/>
                <w:szCs w:val="21"/>
              </w:rPr>
              <w:t xml:space="preserve"> (</w:t>
            </w:r>
            <w:proofErr w:type="spellStart"/>
            <w:r w:rsidRPr="00BA4D86">
              <w:rPr>
                <w:rFonts w:eastAsiaTheme="minorEastAsia"/>
                <w:sz w:val="21"/>
                <w:szCs w:val="21"/>
              </w:rPr>
              <w:t>rAFS</w:t>
            </w:r>
            <w:proofErr w:type="spellEnd"/>
            <w:r w:rsidRPr="00BA4D86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18648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9463B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8299D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450A255C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ADDBE" w14:textId="77777777" w:rsidR="00B93EDF" w:rsidRPr="00BA4D86" w:rsidRDefault="00B93EDF" w:rsidP="001C2D41">
            <w:pPr>
              <w:spacing w:line="240" w:lineRule="auto"/>
              <w:ind w:firstLineChars="135" w:firstLine="283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None or Mild (Stage I+II)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9C405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24.5%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13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1F9B6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41.7%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10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5ABBC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P=0.128</w:t>
            </w:r>
          </w:p>
        </w:tc>
      </w:tr>
      <w:tr w:rsidR="00B93EDF" w:rsidRPr="00BA4D86" w14:paraId="3502D321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82100" w14:textId="77777777" w:rsidR="00B93EDF" w:rsidRPr="00BA4D86" w:rsidRDefault="00B93EDF" w:rsidP="001C2D41">
            <w:pPr>
              <w:spacing w:line="240" w:lineRule="auto"/>
              <w:ind w:firstLineChars="135" w:firstLine="283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Moderate and severe (Stage III+IV)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6CA07" w14:textId="77777777" w:rsidR="00B93EDF" w:rsidRPr="00BA4D86" w:rsidRDefault="00B93EDF" w:rsidP="001C2D41">
            <w:pPr>
              <w:spacing w:line="240" w:lineRule="auto"/>
              <w:ind w:firstLineChars="123" w:firstLine="258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75.3% (40)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13DE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58.3%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14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03B62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566ECA36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A5920" w14:textId="02F39D69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 xml:space="preserve">Coexisting uterine </w:t>
            </w:r>
            <w:r w:rsidR="00961E24" w:rsidRPr="00BA4D86">
              <w:rPr>
                <w:rFonts w:eastAsiaTheme="minorEastAsia"/>
                <w:b/>
                <w:bCs/>
                <w:sz w:val="21"/>
                <w:szCs w:val="21"/>
              </w:rPr>
              <w:t>fibroids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A0D0C" w14:textId="77777777" w:rsidR="00B93EDF" w:rsidRPr="00BA4D86" w:rsidRDefault="00B93EDF" w:rsidP="001C2D41">
            <w:pPr>
              <w:spacing w:line="240" w:lineRule="auto"/>
              <w:ind w:firstLineChars="123" w:firstLine="258"/>
              <w:rPr>
                <w:rFonts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358D4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A432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517302DA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04E5C" w14:textId="77777777" w:rsidR="00B93EDF" w:rsidRPr="00BA4D86" w:rsidRDefault="00B93EDF" w:rsidP="001C2D41">
            <w:pPr>
              <w:spacing w:line="240" w:lineRule="auto"/>
              <w:ind w:firstLineChars="135" w:firstLine="283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 Yes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B09F8" w14:textId="77777777" w:rsidR="00B93EDF" w:rsidRPr="00BA4D86" w:rsidRDefault="00B93EDF" w:rsidP="001C2D41">
            <w:pPr>
              <w:spacing w:line="240" w:lineRule="auto"/>
              <w:ind w:firstLineChars="123" w:firstLine="258"/>
              <w:rPr>
                <w:rFonts w:eastAsiaTheme="minorEastAsia"/>
                <w:color w:val="FF0000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57.3%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75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5452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65.6%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61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1B6EA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P=0.208</w:t>
            </w:r>
          </w:p>
        </w:tc>
      </w:tr>
      <w:tr w:rsidR="00B93EDF" w:rsidRPr="00BA4D86" w14:paraId="3BE39962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148DA" w14:textId="77777777" w:rsidR="00B93EDF" w:rsidRPr="00BA4D86" w:rsidRDefault="00B93EDF" w:rsidP="001C2D41">
            <w:pPr>
              <w:spacing w:line="240" w:lineRule="auto"/>
              <w:ind w:firstLineChars="135" w:firstLine="283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 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49D01" w14:textId="77777777" w:rsidR="00B93EDF" w:rsidRPr="00BA4D86" w:rsidRDefault="00B93EDF" w:rsidP="001C2D41">
            <w:pPr>
              <w:spacing w:line="240" w:lineRule="auto"/>
              <w:ind w:firstLineChars="123" w:firstLine="258"/>
              <w:rPr>
                <w:rFonts w:eastAsiaTheme="minorEastAsia"/>
                <w:color w:val="FF0000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42.7%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56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7DF9E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34.4%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32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A8957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16041680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02915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bCs/>
                <w:sz w:val="21"/>
                <w:szCs w:val="21"/>
              </w:rPr>
              <w:t>Coexisting endometrial lesions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4D45C" w14:textId="77777777" w:rsidR="00B93EDF" w:rsidRPr="00BA4D86" w:rsidRDefault="00B93EDF" w:rsidP="001C2D41">
            <w:pPr>
              <w:spacing w:line="240" w:lineRule="auto"/>
              <w:ind w:firstLineChars="123" w:firstLine="258"/>
              <w:rPr>
                <w:rFonts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39D11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D989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93EDF" w:rsidRPr="00BA4D86" w14:paraId="51133B3F" w14:textId="77777777" w:rsidTr="007D26A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FFC13" w14:textId="77777777" w:rsidR="00B93EDF" w:rsidRPr="00BA4D86" w:rsidRDefault="00B93EDF" w:rsidP="001C2D41">
            <w:pPr>
              <w:spacing w:line="240" w:lineRule="auto"/>
              <w:ind w:firstLineChars="135" w:firstLine="283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 Yes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63AFE" w14:textId="77777777" w:rsidR="00B93EDF" w:rsidRPr="00BA4D86" w:rsidRDefault="00B93EDF" w:rsidP="001C2D41">
            <w:pPr>
              <w:spacing w:line="240" w:lineRule="auto"/>
              <w:ind w:firstLineChars="123" w:firstLine="258"/>
              <w:rPr>
                <w:rFonts w:eastAsiaTheme="minorEastAsia"/>
                <w:color w:val="FF0000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11.5%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15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2172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8.6%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8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F6785" w14:textId="16006FBA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P=0.</w:t>
            </w:r>
            <w:r w:rsidR="00AF0512" w:rsidRPr="00BA4D86">
              <w:rPr>
                <w:rFonts w:eastAsiaTheme="minorEastAsia"/>
                <w:sz w:val="21"/>
                <w:szCs w:val="21"/>
              </w:rPr>
              <w:t>489</w:t>
            </w:r>
          </w:p>
        </w:tc>
      </w:tr>
      <w:tr w:rsidR="00B93EDF" w:rsidRPr="00BA4D86" w14:paraId="04A8C24E" w14:textId="77777777" w:rsidTr="007D26A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4C94F" w14:textId="77777777" w:rsidR="00B93EDF" w:rsidRPr="00BA4D86" w:rsidRDefault="00B93EDF" w:rsidP="001C2D41">
            <w:pPr>
              <w:spacing w:line="240" w:lineRule="auto"/>
              <w:ind w:firstLineChars="135" w:firstLine="283"/>
              <w:jc w:val="left"/>
              <w:rPr>
                <w:rFonts w:eastAsiaTheme="minorEastAsia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 xml:space="preserve">  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3BCB58" w14:textId="77777777" w:rsidR="00B93EDF" w:rsidRPr="00BA4D86" w:rsidRDefault="00B93EDF" w:rsidP="001C2D41">
            <w:pPr>
              <w:spacing w:line="240" w:lineRule="auto"/>
              <w:ind w:firstLineChars="123" w:firstLine="258"/>
              <w:rPr>
                <w:rFonts w:eastAsiaTheme="minorEastAsia"/>
                <w:color w:val="FF0000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88.5%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116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F4BB2C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BA4D86">
              <w:rPr>
                <w:rFonts w:eastAsiaTheme="minorEastAsia"/>
                <w:sz w:val="21"/>
                <w:szCs w:val="21"/>
              </w:rPr>
              <w:t>91.4%</w:t>
            </w:r>
            <w:r w:rsidRPr="00BA4D86">
              <w:rPr>
                <w:rFonts w:eastAsiaTheme="minorEastAsia"/>
                <w:sz w:val="21"/>
                <w:szCs w:val="21"/>
              </w:rPr>
              <w:t>（</w:t>
            </w:r>
            <w:r w:rsidRPr="00BA4D86">
              <w:rPr>
                <w:rFonts w:eastAsiaTheme="minorEastAsia"/>
                <w:sz w:val="21"/>
                <w:szCs w:val="21"/>
              </w:rPr>
              <w:t>85</w:t>
            </w:r>
            <w:r w:rsidRPr="00BA4D86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BD5669" w14:textId="77777777" w:rsidR="00B93EDF" w:rsidRPr="00BA4D86" w:rsidRDefault="00B93EDF" w:rsidP="001C2D41">
            <w:pPr>
              <w:spacing w:line="240" w:lineRule="auto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</w:tbl>
    <w:p w14:paraId="5932DABD" w14:textId="77777777" w:rsidR="00B93EDF" w:rsidRPr="00BA4D86" w:rsidRDefault="00B93EDF" w:rsidP="00B93EDF">
      <w:pPr>
        <w:spacing w:line="276" w:lineRule="auto"/>
        <w:rPr>
          <w:rFonts w:eastAsiaTheme="minorEastAsia"/>
          <w:sz w:val="21"/>
          <w:szCs w:val="21"/>
        </w:rPr>
      </w:pPr>
      <w:r w:rsidRPr="00BA4D86">
        <w:rPr>
          <w:rFonts w:eastAsiaTheme="minorEastAsia"/>
          <w:sz w:val="21"/>
          <w:szCs w:val="21"/>
        </w:rPr>
        <w:t xml:space="preserve">Abbreviation: EM, endometriosis; CPP, chronic pelvic pain; </w:t>
      </w:r>
      <w:proofErr w:type="spellStart"/>
      <w:r w:rsidRPr="00BA4D86">
        <w:rPr>
          <w:rFonts w:eastAsiaTheme="minorEastAsia"/>
          <w:sz w:val="21"/>
          <w:szCs w:val="21"/>
        </w:rPr>
        <w:t>GnRHa</w:t>
      </w:r>
      <w:proofErr w:type="spellEnd"/>
      <w:r w:rsidRPr="00BA4D86">
        <w:rPr>
          <w:rFonts w:eastAsiaTheme="minorEastAsia"/>
          <w:sz w:val="21"/>
          <w:szCs w:val="21"/>
        </w:rPr>
        <w:t xml:space="preserve">, gonadotropin releasing hormone agonist; </w:t>
      </w:r>
      <w:proofErr w:type="spellStart"/>
      <w:r w:rsidRPr="00BA4D86">
        <w:rPr>
          <w:rFonts w:eastAsiaTheme="minorEastAsia"/>
          <w:sz w:val="21"/>
          <w:szCs w:val="21"/>
        </w:rPr>
        <w:t>HBG</w:t>
      </w:r>
      <w:proofErr w:type="spellEnd"/>
      <w:r w:rsidRPr="00BA4D86">
        <w:rPr>
          <w:rFonts w:eastAsiaTheme="minorEastAsia"/>
          <w:sz w:val="21"/>
          <w:szCs w:val="21"/>
        </w:rPr>
        <w:t xml:space="preserve">, hemoglobin; </w:t>
      </w:r>
      <w:proofErr w:type="spellStart"/>
      <w:r w:rsidRPr="00BA4D86">
        <w:rPr>
          <w:rFonts w:eastAsiaTheme="minorEastAsia"/>
          <w:sz w:val="21"/>
          <w:szCs w:val="21"/>
        </w:rPr>
        <w:t>rAFS</w:t>
      </w:r>
      <w:proofErr w:type="spellEnd"/>
      <w:r w:rsidRPr="00BA4D86">
        <w:rPr>
          <w:rFonts w:eastAsiaTheme="minorEastAsia"/>
          <w:sz w:val="21"/>
          <w:szCs w:val="21"/>
        </w:rPr>
        <w:t>, staging system revised by American Fertility Society.</w:t>
      </w:r>
    </w:p>
    <w:p w14:paraId="0EFE6B8A" w14:textId="77777777" w:rsidR="00B93EDF" w:rsidRPr="00BA4D86" w:rsidRDefault="00B93EDF" w:rsidP="00B93EDF">
      <w:pPr>
        <w:spacing w:line="276" w:lineRule="auto"/>
        <w:rPr>
          <w:rFonts w:eastAsiaTheme="minorEastAsia"/>
          <w:sz w:val="21"/>
          <w:szCs w:val="21"/>
        </w:rPr>
      </w:pPr>
      <w:proofErr w:type="gramStart"/>
      <w:r w:rsidRPr="00BA4D86">
        <w:rPr>
          <w:rFonts w:eastAsiaTheme="minorEastAsia"/>
          <w:sz w:val="21"/>
          <w:szCs w:val="21"/>
        </w:rPr>
        <w:t>Note:</w:t>
      </w:r>
      <w:r w:rsidRPr="00BA4D86">
        <w:rPr>
          <w:rFonts w:eastAsiaTheme="minorEastAsia"/>
          <w:kern w:val="0"/>
          <w:sz w:val="21"/>
          <w:szCs w:val="21"/>
        </w:rPr>
        <w:t>*</w:t>
      </w:r>
      <w:proofErr w:type="gramEnd"/>
      <w:r w:rsidRPr="00BA4D86">
        <w:rPr>
          <w:rFonts w:eastAsiaTheme="minorEastAsia"/>
          <w:sz w:val="21"/>
          <w:szCs w:val="21"/>
        </w:rPr>
        <w:t xml:space="preserve"> the difference reached statistical significance</w:t>
      </w:r>
    </w:p>
    <w:p w14:paraId="51704FAB" w14:textId="77777777" w:rsidR="00B93EDF" w:rsidRPr="00BA4D86" w:rsidRDefault="00B93EDF" w:rsidP="00B93EDF">
      <w:pPr>
        <w:widowControl/>
        <w:spacing w:line="240" w:lineRule="auto"/>
        <w:jc w:val="left"/>
        <w:rPr>
          <w:rFonts w:eastAsiaTheme="minorEastAsia"/>
          <w:sz w:val="21"/>
          <w:szCs w:val="21"/>
        </w:rPr>
      </w:pPr>
      <w:r w:rsidRPr="00BA4D86">
        <w:rPr>
          <w:rFonts w:eastAsiaTheme="minorEastAsia"/>
          <w:sz w:val="21"/>
          <w:szCs w:val="21"/>
        </w:rPr>
        <w:br w:type="page"/>
      </w:r>
    </w:p>
    <w:p w14:paraId="5CAD3859" w14:textId="1B5DC648" w:rsidR="00B93EDF" w:rsidRPr="00513ACB" w:rsidRDefault="00734051" w:rsidP="00734051">
      <w:pPr>
        <w:spacing w:afterLines="50" w:after="156" w:line="240" w:lineRule="auto"/>
        <w:rPr>
          <w:rFonts w:eastAsiaTheme="minorEastAsia"/>
          <w:b/>
          <w:color w:val="FF0000"/>
          <w:sz w:val="21"/>
          <w:szCs w:val="21"/>
        </w:rPr>
      </w:pPr>
      <w:r w:rsidRPr="00513ACB">
        <w:rPr>
          <w:rFonts w:eastAsiaTheme="minorEastAsia"/>
          <w:b/>
          <w:color w:val="FF0000"/>
          <w:sz w:val="21"/>
          <w:szCs w:val="21"/>
        </w:rPr>
        <w:lastRenderedPageBreak/>
        <w:t xml:space="preserve">Supplementary Table </w:t>
      </w:r>
      <w:r w:rsidR="00BA4D86" w:rsidRPr="00513ACB">
        <w:rPr>
          <w:rFonts w:eastAsiaTheme="minorEastAsia"/>
          <w:b/>
          <w:color w:val="FF0000"/>
          <w:sz w:val="21"/>
          <w:szCs w:val="21"/>
        </w:rPr>
        <w:t>3</w:t>
      </w:r>
      <w:r w:rsidR="00B93EDF" w:rsidRPr="00513ACB">
        <w:rPr>
          <w:rFonts w:eastAsiaTheme="minorEastAsia"/>
          <w:b/>
          <w:color w:val="FF0000"/>
          <w:sz w:val="21"/>
          <w:szCs w:val="21"/>
        </w:rPr>
        <w:t>. The multivariate analysis for adenomyosis patients with dysmenorrhea by Logistic regression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2"/>
        <w:gridCol w:w="1480"/>
        <w:gridCol w:w="2369"/>
      </w:tblGrid>
      <w:tr w:rsidR="00B93EDF" w:rsidRPr="00BA4D86" w14:paraId="100FBD7F" w14:textId="77777777" w:rsidTr="001C2D41">
        <w:trPr>
          <w:trHeight w:val="383"/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C579761" w14:textId="5D612483" w:rsidR="00B93EDF" w:rsidRPr="00BA4D86" w:rsidRDefault="00B93EDF" w:rsidP="001C2D41">
            <w:pPr>
              <w:spacing w:line="240" w:lineRule="auto"/>
              <w:ind w:firstLineChars="200" w:firstLine="420"/>
              <w:jc w:val="left"/>
              <w:rPr>
                <w:rFonts w:eastAsiaTheme="minorEastAsia"/>
                <w:b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sz w:val="21"/>
                <w:szCs w:val="21"/>
              </w:rPr>
              <w:t>Variables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7575767" w14:textId="77777777" w:rsidR="00B93EDF" w:rsidRPr="00BA4D86" w:rsidRDefault="00B93EDF" w:rsidP="001C2D41">
            <w:pPr>
              <w:spacing w:line="240" w:lineRule="auto"/>
              <w:rPr>
                <w:rFonts w:eastAsiaTheme="minorEastAsia"/>
                <w:b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sz w:val="21"/>
                <w:szCs w:val="21"/>
              </w:rPr>
              <w:t>P value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CC0EB4C" w14:textId="77777777" w:rsidR="00B93EDF" w:rsidRPr="00BA4D86" w:rsidRDefault="00B93EDF" w:rsidP="001C2D41">
            <w:pPr>
              <w:spacing w:line="240" w:lineRule="auto"/>
              <w:ind w:firstLineChars="200" w:firstLine="420"/>
              <w:rPr>
                <w:rFonts w:eastAsiaTheme="minorEastAsia"/>
                <w:b/>
                <w:sz w:val="21"/>
                <w:szCs w:val="21"/>
              </w:rPr>
            </w:pPr>
            <w:r w:rsidRPr="00BA4D86">
              <w:rPr>
                <w:rFonts w:eastAsiaTheme="minorEastAsia"/>
                <w:b/>
                <w:sz w:val="21"/>
                <w:szCs w:val="21"/>
              </w:rPr>
              <w:t>OR (95% CI)</w:t>
            </w:r>
          </w:p>
        </w:tc>
      </w:tr>
      <w:tr w:rsidR="00B93EDF" w:rsidRPr="00BA4D86" w14:paraId="7FF84F4F" w14:textId="77777777" w:rsidTr="001C2D41">
        <w:trPr>
          <w:trHeight w:val="323"/>
          <w:jc w:val="center"/>
        </w:trPr>
        <w:tc>
          <w:tcPr>
            <w:tcW w:w="4112" w:type="dxa"/>
            <w:tcBorders>
              <w:top w:val="single" w:sz="4" w:space="0" w:color="auto"/>
            </w:tcBorders>
            <w:vAlign w:val="bottom"/>
          </w:tcPr>
          <w:p w14:paraId="46E5606B" w14:textId="77777777" w:rsidR="00B93EDF" w:rsidRPr="00BA4D86" w:rsidRDefault="00B93EDF" w:rsidP="001C2D41">
            <w:pPr>
              <w:widowControl/>
              <w:spacing w:line="240" w:lineRule="auto"/>
              <w:jc w:val="left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  <w:t xml:space="preserve">Age </w:t>
            </w:r>
            <w:r w:rsidRPr="00BA4D86">
              <w:rPr>
                <w:rFonts w:eastAsiaTheme="minorEastAsia"/>
                <w:bCs/>
                <w:sz w:val="21"/>
                <w:szCs w:val="21"/>
              </w:rPr>
              <w:t>at diagnose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noWrap/>
            <w:vAlign w:val="bottom"/>
          </w:tcPr>
          <w:p w14:paraId="68B0B3F2" w14:textId="77777777" w:rsidR="00B93EDF" w:rsidRPr="00BA4D86" w:rsidRDefault="00B93EDF" w:rsidP="001C2D41">
            <w:pPr>
              <w:widowControl/>
              <w:spacing w:line="240" w:lineRule="auto"/>
              <w:jc w:val="left"/>
              <w:rPr>
                <w:rFonts w:eastAsia="MingLiU"/>
                <w:bCs/>
                <w:color w:val="000000"/>
                <w:kern w:val="0"/>
                <w:sz w:val="21"/>
                <w:szCs w:val="21"/>
              </w:rPr>
            </w:pPr>
            <w:r w:rsidRPr="00BA4D86">
              <w:rPr>
                <w:rFonts w:eastAsia="MingLiU"/>
                <w:bCs/>
                <w:color w:val="000000"/>
                <w:sz w:val="21"/>
                <w:szCs w:val="21"/>
              </w:rPr>
              <w:t>0.576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noWrap/>
            <w:vAlign w:val="bottom"/>
          </w:tcPr>
          <w:p w14:paraId="5DF44B44" w14:textId="77777777" w:rsidR="00B93EDF" w:rsidRPr="00BA4D86" w:rsidRDefault="00B93EDF" w:rsidP="001C2D41">
            <w:pPr>
              <w:widowControl/>
              <w:spacing w:line="240" w:lineRule="auto"/>
              <w:jc w:val="left"/>
              <w:rPr>
                <w:rFonts w:eastAsiaTheme="minorEastAsia"/>
                <w:bCs/>
                <w:kern w:val="0"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0.971(0.874~1.077)</w:t>
            </w:r>
          </w:p>
        </w:tc>
      </w:tr>
      <w:tr w:rsidR="00B93EDF" w:rsidRPr="00BA4D86" w14:paraId="6B29575A" w14:textId="77777777" w:rsidTr="001C2D41">
        <w:trPr>
          <w:trHeight w:val="280"/>
          <w:jc w:val="center"/>
        </w:trPr>
        <w:tc>
          <w:tcPr>
            <w:tcW w:w="4112" w:type="dxa"/>
            <w:vAlign w:val="bottom"/>
          </w:tcPr>
          <w:p w14:paraId="74078135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="MingLiU"/>
                <w:bCs/>
                <w:color w:val="000000"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color w:val="000000"/>
                <w:sz w:val="21"/>
                <w:szCs w:val="21"/>
              </w:rPr>
              <w:t>Age of onset of disease</w:t>
            </w:r>
          </w:p>
        </w:tc>
        <w:tc>
          <w:tcPr>
            <w:tcW w:w="1480" w:type="dxa"/>
            <w:noWrap/>
            <w:vAlign w:val="bottom"/>
          </w:tcPr>
          <w:p w14:paraId="5EF4C3AA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="MingLiU"/>
                <w:bCs/>
                <w:color w:val="000000"/>
                <w:sz w:val="21"/>
                <w:szCs w:val="21"/>
              </w:rPr>
            </w:pPr>
            <w:r w:rsidRPr="00BA4D86">
              <w:rPr>
                <w:rFonts w:eastAsia="MingLiU"/>
                <w:bCs/>
                <w:color w:val="000000"/>
                <w:sz w:val="21"/>
                <w:szCs w:val="21"/>
              </w:rPr>
              <w:t>0.685</w:t>
            </w:r>
          </w:p>
        </w:tc>
        <w:tc>
          <w:tcPr>
            <w:tcW w:w="2369" w:type="dxa"/>
            <w:noWrap/>
            <w:vAlign w:val="bottom"/>
          </w:tcPr>
          <w:p w14:paraId="6F0342DF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0.980(0.887~1.082)</w:t>
            </w:r>
          </w:p>
        </w:tc>
      </w:tr>
      <w:tr w:rsidR="00B93EDF" w:rsidRPr="00BA4D86" w14:paraId="59DC78C8" w14:textId="77777777" w:rsidTr="001C2D41">
        <w:trPr>
          <w:trHeight w:val="321"/>
          <w:jc w:val="center"/>
        </w:trPr>
        <w:tc>
          <w:tcPr>
            <w:tcW w:w="4112" w:type="dxa"/>
            <w:vAlign w:val="bottom"/>
          </w:tcPr>
          <w:p w14:paraId="2C08F8BB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color w:val="000000"/>
                <w:sz w:val="21"/>
                <w:szCs w:val="21"/>
              </w:rPr>
              <w:t xml:space="preserve">Pre-surgical </w:t>
            </w:r>
            <w:r w:rsidRPr="00BA4D86">
              <w:rPr>
                <w:rFonts w:eastAsia="MingLiU"/>
                <w:bCs/>
                <w:color w:val="000000"/>
                <w:sz w:val="21"/>
                <w:szCs w:val="21"/>
              </w:rPr>
              <w:t>CA125</w:t>
            </w:r>
            <w:r w:rsidRPr="00BA4D86">
              <w:rPr>
                <w:rFonts w:eastAsiaTheme="minorEastAsia"/>
                <w:bCs/>
                <w:color w:val="000000"/>
                <w:sz w:val="21"/>
                <w:szCs w:val="21"/>
              </w:rPr>
              <w:t xml:space="preserve"> elevated</w:t>
            </w:r>
          </w:p>
        </w:tc>
        <w:tc>
          <w:tcPr>
            <w:tcW w:w="1480" w:type="dxa"/>
            <w:noWrap/>
            <w:vAlign w:val="bottom"/>
          </w:tcPr>
          <w:p w14:paraId="6F3ADA19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 w:rsidRPr="00BA4D86">
              <w:rPr>
                <w:rFonts w:eastAsia="MingLiU"/>
                <w:bCs/>
                <w:color w:val="000000"/>
                <w:sz w:val="21"/>
                <w:szCs w:val="21"/>
              </w:rPr>
              <w:t>&lt;0.001</w:t>
            </w:r>
            <w:r w:rsidRPr="00BA4D86">
              <w:rPr>
                <w:rFonts w:eastAsiaTheme="minorEastAsia"/>
                <w:bCs/>
                <w:color w:val="000000"/>
                <w:sz w:val="21"/>
                <w:szCs w:val="21"/>
              </w:rPr>
              <w:t>*</w:t>
            </w:r>
          </w:p>
        </w:tc>
        <w:tc>
          <w:tcPr>
            <w:tcW w:w="2369" w:type="dxa"/>
            <w:noWrap/>
            <w:vAlign w:val="bottom"/>
          </w:tcPr>
          <w:p w14:paraId="3FCDEBD1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5.140(2.254~11.719)</w:t>
            </w:r>
          </w:p>
        </w:tc>
      </w:tr>
      <w:tr w:rsidR="00B93EDF" w:rsidRPr="00BA4D86" w14:paraId="1CEF6C07" w14:textId="77777777" w:rsidTr="001C2D41">
        <w:trPr>
          <w:trHeight w:val="385"/>
          <w:jc w:val="center"/>
        </w:trPr>
        <w:tc>
          <w:tcPr>
            <w:tcW w:w="4112" w:type="dxa"/>
            <w:vAlign w:val="bottom"/>
          </w:tcPr>
          <w:p w14:paraId="7A1271E9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color w:val="000000"/>
                <w:sz w:val="21"/>
                <w:szCs w:val="21"/>
              </w:rPr>
              <w:t xml:space="preserve">Anterior myometrial layer </w:t>
            </w:r>
            <w:proofErr w:type="gramStart"/>
            <w:r w:rsidRPr="00BA4D86">
              <w:rPr>
                <w:rFonts w:eastAsiaTheme="minorEastAsia"/>
                <w:bCs/>
                <w:color w:val="000000"/>
                <w:sz w:val="21"/>
                <w:szCs w:val="21"/>
              </w:rPr>
              <w:t>thicken</w:t>
            </w:r>
            <w:proofErr w:type="gramEnd"/>
          </w:p>
        </w:tc>
        <w:tc>
          <w:tcPr>
            <w:tcW w:w="1480" w:type="dxa"/>
            <w:noWrap/>
            <w:vAlign w:val="bottom"/>
          </w:tcPr>
          <w:p w14:paraId="30A8EF02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="MingLiU"/>
                <w:bCs/>
                <w:color w:val="000000"/>
                <w:sz w:val="21"/>
                <w:szCs w:val="21"/>
              </w:rPr>
            </w:pPr>
            <w:r w:rsidRPr="00BA4D86">
              <w:rPr>
                <w:rFonts w:eastAsia="MingLiU"/>
                <w:bCs/>
                <w:color w:val="000000"/>
                <w:sz w:val="21"/>
                <w:szCs w:val="21"/>
              </w:rPr>
              <w:t>0.569</w:t>
            </w:r>
          </w:p>
        </w:tc>
        <w:tc>
          <w:tcPr>
            <w:tcW w:w="2369" w:type="dxa"/>
            <w:noWrap/>
            <w:vAlign w:val="bottom"/>
          </w:tcPr>
          <w:p w14:paraId="5BE5E0D6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2.147(0.155~29.785)</w:t>
            </w:r>
          </w:p>
        </w:tc>
      </w:tr>
      <w:tr w:rsidR="00B93EDF" w:rsidRPr="00BA4D86" w14:paraId="72463D1D" w14:textId="77777777" w:rsidTr="001C2D41">
        <w:trPr>
          <w:trHeight w:val="385"/>
          <w:jc w:val="center"/>
        </w:trPr>
        <w:tc>
          <w:tcPr>
            <w:tcW w:w="4112" w:type="dxa"/>
            <w:vAlign w:val="bottom"/>
          </w:tcPr>
          <w:p w14:paraId="28100CCE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="MingLiU"/>
                <w:bCs/>
                <w:color w:val="000000"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color w:val="000000"/>
                <w:sz w:val="21"/>
                <w:szCs w:val="21"/>
              </w:rPr>
              <w:t xml:space="preserve">Posterior myometrial layer </w:t>
            </w:r>
            <w:proofErr w:type="gramStart"/>
            <w:r w:rsidRPr="00BA4D86">
              <w:rPr>
                <w:rFonts w:eastAsiaTheme="minorEastAsia"/>
                <w:bCs/>
                <w:color w:val="000000"/>
                <w:sz w:val="21"/>
                <w:szCs w:val="21"/>
              </w:rPr>
              <w:t>thicken</w:t>
            </w:r>
            <w:proofErr w:type="gramEnd"/>
          </w:p>
        </w:tc>
        <w:tc>
          <w:tcPr>
            <w:tcW w:w="1480" w:type="dxa"/>
            <w:noWrap/>
            <w:vAlign w:val="bottom"/>
          </w:tcPr>
          <w:p w14:paraId="0AC80086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 w:rsidRPr="00BA4D86">
              <w:rPr>
                <w:rFonts w:eastAsia="MingLiU"/>
                <w:bCs/>
                <w:color w:val="000000"/>
                <w:sz w:val="21"/>
                <w:szCs w:val="21"/>
              </w:rPr>
              <w:t>0.008</w:t>
            </w:r>
            <w:r w:rsidRPr="00BA4D86">
              <w:rPr>
                <w:rFonts w:eastAsiaTheme="minorEastAsia"/>
                <w:bCs/>
                <w:color w:val="000000"/>
                <w:sz w:val="21"/>
                <w:szCs w:val="21"/>
              </w:rPr>
              <w:t>*</w:t>
            </w:r>
          </w:p>
        </w:tc>
        <w:tc>
          <w:tcPr>
            <w:tcW w:w="2369" w:type="dxa"/>
            <w:noWrap/>
            <w:vAlign w:val="bottom"/>
          </w:tcPr>
          <w:p w14:paraId="35C8C54F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5.821(1.588~21.337)</w:t>
            </w:r>
          </w:p>
        </w:tc>
      </w:tr>
      <w:tr w:rsidR="00B93EDF" w:rsidRPr="00BA4D86" w14:paraId="7D831D7A" w14:textId="77777777" w:rsidTr="001C2D41">
        <w:trPr>
          <w:trHeight w:val="385"/>
          <w:jc w:val="center"/>
        </w:trPr>
        <w:tc>
          <w:tcPr>
            <w:tcW w:w="4112" w:type="dxa"/>
            <w:vAlign w:val="bottom"/>
          </w:tcPr>
          <w:p w14:paraId="0BA38470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color w:val="000000"/>
                <w:sz w:val="21"/>
                <w:szCs w:val="21"/>
              </w:rPr>
              <w:t>Diffused myometrial layer thicken</w:t>
            </w:r>
          </w:p>
        </w:tc>
        <w:tc>
          <w:tcPr>
            <w:tcW w:w="1480" w:type="dxa"/>
            <w:noWrap/>
            <w:vAlign w:val="bottom"/>
          </w:tcPr>
          <w:p w14:paraId="1B1C7CC1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="MingLiU"/>
                <w:bCs/>
                <w:color w:val="000000"/>
                <w:sz w:val="21"/>
                <w:szCs w:val="21"/>
              </w:rPr>
            </w:pPr>
            <w:r w:rsidRPr="00BA4D86">
              <w:rPr>
                <w:rFonts w:eastAsia="MingLiU"/>
                <w:bCs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2369" w:type="dxa"/>
            <w:noWrap/>
            <w:vAlign w:val="bottom"/>
          </w:tcPr>
          <w:p w14:paraId="2EEAB734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/</w:t>
            </w:r>
          </w:p>
        </w:tc>
      </w:tr>
      <w:tr w:rsidR="00B93EDF" w:rsidRPr="00BA4D86" w14:paraId="702C364B" w14:textId="77777777" w:rsidTr="001C2D41">
        <w:trPr>
          <w:trHeight w:val="385"/>
          <w:jc w:val="center"/>
        </w:trPr>
        <w:tc>
          <w:tcPr>
            <w:tcW w:w="4112" w:type="dxa"/>
            <w:tcBorders>
              <w:bottom w:val="single" w:sz="4" w:space="0" w:color="auto"/>
            </w:tcBorders>
            <w:vAlign w:val="bottom"/>
          </w:tcPr>
          <w:p w14:paraId="2A0EDE7D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color w:val="000000"/>
                <w:sz w:val="21"/>
                <w:szCs w:val="21"/>
              </w:rPr>
              <w:t>Coexisting endometriosis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noWrap/>
            <w:vAlign w:val="bottom"/>
          </w:tcPr>
          <w:p w14:paraId="177A1CFB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="MingLiU"/>
                <w:bCs/>
                <w:color w:val="000000"/>
                <w:sz w:val="21"/>
                <w:szCs w:val="21"/>
              </w:rPr>
            </w:pPr>
            <w:r w:rsidRPr="00BA4D86">
              <w:rPr>
                <w:rFonts w:eastAsia="MingLiU"/>
                <w:bCs/>
                <w:color w:val="000000"/>
                <w:sz w:val="21"/>
                <w:szCs w:val="21"/>
              </w:rPr>
              <w:t>0.672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noWrap/>
            <w:vAlign w:val="bottom"/>
          </w:tcPr>
          <w:p w14:paraId="42B68C2B" w14:textId="77777777" w:rsidR="00B93EDF" w:rsidRPr="00BA4D86" w:rsidRDefault="00B93EDF" w:rsidP="001C2D41">
            <w:pPr>
              <w:spacing w:line="240" w:lineRule="auto"/>
              <w:jc w:val="left"/>
              <w:rPr>
                <w:rFonts w:eastAsiaTheme="minorEastAsia"/>
                <w:bCs/>
                <w:sz w:val="21"/>
                <w:szCs w:val="21"/>
              </w:rPr>
            </w:pPr>
            <w:r w:rsidRPr="00BA4D86">
              <w:rPr>
                <w:rFonts w:eastAsiaTheme="minorEastAsia"/>
                <w:bCs/>
                <w:sz w:val="21"/>
                <w:szCs w:val="21"/>
              </w:rPr>
              <w:t>0.845(0.388~1.841)</w:t>
            </w:r>
          </w:p>
        </w:tc>
      </w:tr>
    </w:tbl>
    <w:p w14:paraId="6B2BD1EE" w14:textId="77777777" w:rsidR="00B93EDF" w:rsidRPr="00BA4D86" w:rsidRDefault="00B93EDF" w:rsidP="00B93EDF">
      <w:pPr>
        <w:autoSpaceDE w:val="0"/>
        <w:spacing w:line="240" w:lineRule="auto"/>
        <w:ind w:firstLineChars="50" w:firstLine="105"/>
        <w:jc w:val="left"/>
        <w:rPr>
          <w:rFonts w:eastAsiaTheme="minorEastAsia"/>
          <w:sz w:val="21"/>
          <w:szCs w:val="21"/>
        </w:rPr>
      </w:pPr>
      <w:proofErr w:type="gramStart"/>
      <w:r w:rsidRPr="00BA4D86">
        <w:rPr>
          <w:rFonts w:eastAsiaTheme="minorEastAsia"/>
          <w:sz w:val="21"/>
          <w:szCs w:val="21"/>
        </w:rPr>
        <w:t>Note:</w:t>
      </w:r>
      <w:r w:rsidRPr="00BA4D86">
        <w:rPr>
          <w:rFonts w:eastAsiaTheme="minorEastAsia"/>
          <w:kern w:val="0"/>
          <w:sz w:val="21"/>
          <w:szCs w:val="21"/>
        </w:rPr>
        <w:t>*</w:t>
      </w:r>
      <w:proofErr w:type="gramEnd"/>
      <w:r w:rsidRPr="00BA4D86">
        <w:rPr>
          <w:rFonts w:eastAsiaTheme="minorEastAsia"/>
          <w:sz w:val="21"/>
          <w:szCs w:val="21"/>
        </w:rPr>
        <w:t xml:space="preserve"> the difference reached statistical significance</w:t>
      </w:r>
      <w:r w:rsidRPr="00BA4D86">
        <w:rPr>
          <w:rFonts w:eastAsiaTheme="minorEastAsia"/>
          <w:kern w:val="0"/>
          <w:sz w:val="21"/>
          <w:szCs w:val="21"/>
        </w:rPr>
        <w:t xml:space="preserve">. </w:t>
      </w:r>
    </w:p>
    <w:p w14:paraId="0B218CE1" w14:textId="77777777" w:rsidR="00B93EDF" w:rsidRPr="00BA4D86" w:rsidRDefault="00B93EDF" w:rsidP="00B93EDF"/>
    <w:p w14:paraId="3AD2D1C7" w14:textId="57AC6F35" w:rsidR="00B93EDF" w:rsidRPr="00BA4D86" w:rsidRDefault="00B93EDF" w:rsidP="00981174"/>
    <w:p w14:paraId="0707F771" w14:textId="090D79C3" w:rsidR="00130914" w:rsidRPr="00BA4D86" w:rsidRDefault="00130914" w:rsidP="00734051">
      <w:pPr>
        <w:widowControl/>
        <w:spacing w:line="240" w:lineRule="auto"/>
        <w:jc w:val="left"/>
      </w:pPr>
    </w:p>
    <w:sectPr w:rsidR="00130914" w:rsidRPr="00BA4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24407" w14:textId="77777777" w:rsidR="004219EB" w:rsidRDefault="004219EB" w:rsidP="00130914">
      <w:pPr>
        <w:spacing w:line="240" w:lineRule="auto"/>
      </w:pPr>
      <w:r>
        <w:separator/>
      </w:r>
    </w:p>
  </w:endnote>
  <w:endnote w:type="continuationSeparator" w:id="0">
    <w:p w14:paraId="7E3B66DB" w14:textId="77777777" w:rsidR="004219EB" w:rsidRDefault="004219EB" w:rsidP="00130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F4915" w14:textId="77777777" w:rsidR="004219EB" w:rsidRDefault="004219EB" w:rsidP="00130914">
      <w:pPr>
        <w:spacing w:line="240" w:lineRule="auto"/>
      </w:pPr>
      <w:r>
        <w:separator/>
      </w:r>
    </w:p>
  </w:footnote>
  <w:footnote w:type="continuationSeparator" w:id="0">
    <w:p w14:paraId="16E5385D" w14:textId="77777777" w:rsidR="004219EB" w:rsidRDefault="004219EB" w:rsidP="001309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3B"/>
    <w:rsid w:val="0001030B"/>
    <w:rsid w:val="00022D2B"/>
    <w:rsid w:val="00036F8B"/>
    <w:rsid w:val="00073CA6"/>
    <w:rsid w:val="000E7F1C"/>
    <w:rsid w:val="001013ED"/>
    <w:rsid w:val="00130914"/>
    <w:rsid w:val="00142985"/>
    <w:rsid w:val="00181148"/>
    <w:rsid w:val="001A17A8"/>
    <w:rsid w:val="001C2D41"/>
    <w:rsid w:val="00201B44"/>
    <w:rsid w:val="0023529A"/>
    <w:rsid w:val="00235FA5"/>
    <w:rsid w:val="00250E4E"/>
    <w:rsid w:val="00285BED"/>
    <w:rsid w:val="0029718E"/>
    <w:rsid w:val="002D246D"/>
    <w:rsid w:val="00306F3A"/>
    <w:rsid w:val="00312DEE"/>
    <w:rsid w:val="00343772"/>
    <w:rsid w:val="00344E32"/>
    <w:rsid w:val="00353F9A"/>
    <w:rsid w:val="00357B3B"/>
    <w:rsid w:val="003640AF"/>
    <w:rsid w:val="003E06A5"/>
    <w:rsid w:val="004219EB"/>
    <w:rsid w:val="00455DBB"/>
    <w:rsid w:val="0046635B"/>
    <w:rsid w:val="00493A65"/>
    <w:rsid w:val="004C0DD4"/>
    <w:rsid w:val="004E6DD7"/>
    <w:rsid w:val="004F0B1E"/>
    <w:rsid w:val="00513ACB"/>
    <w:rsid w:val="00563F6A"/>
    <w:rsid w:val="005F1915"/>
    <w:rsid w:val="006277EC"/>
    <w:rsid w:val="00634708"/>
    <w:rsid w:val="0064413D"/>
    <w:rsid w:val="0067347D"/>
    <w:rsid w:val="006B4DEE"/>
    <w:rsid w:val="006F7356"/>
    <w:rsid w:val="0070417F"/>
    <w:rsid w:val="00734051"/>
    <w:rsid w:val="0075564B"/>
    <w:rsid w:val="00755DEF"/>
    <w:rsid w:val="00783413"/>
    <w:rsid w:val="007913DA"/>
    <w:rsid w:val="00794AF5"/>
    <w:rsid w:val="007D26A3"/>
    <w:rsid w:val="007D32E6"/>
    <w:rsid w:val="007F46CA"/>
    <w:rsid w:val="00801E04"/>
    <w:rsid w:val="008566D7"/>
    <w:rsid w:val="00886968"/>
    <w:rsid w:val="008B2DA4"/>
    <w:rsid w:val="008D03C3"/>
    <w:rsid w:val="009005B9"/>
    <w:rsid w:val="00906F32"/>
    <w:rsid w:val="0091289D"/>
    <w:rsid w:val="00925012"/>
    <w:rsid w:val="00940082"/>
    <w:rsid w:val="00943A44"/>
    <w:rsid w:val="00960337"/>
    <w:rsid w:val="00961E24"/>
    <w:rsid w:val="00974D0F"/>
    <w:rsid w:val="00981174"/>
    <w:rsid w:val="009906A8"/>
    <w:rsid w:val="009A4810"/>
    <w:rsid w:val="009E1B5D"/>
    <w:rsid w:val="00A25144"/>
    <w:rsid w:val="00A279BE"/>
    <w:rsid w:val="00A66BFA"/>
    <w:rsid w:val="00A73510"/>
    <w:rsid w:val="00A91906"/>
    <w:rsid w:val="00A94CC9"/>
    <w:rsid w:val="00AA055E"/>
    <w:rsid w:val="00AB33CC"/>
    <w:rsid w:val="00AC1530"/>
    <w:rsid w:val="00AF0512"/>
    <w:rsid w:val="00B12BD4"/>
    <w:rsid w:val="00B22563"/>
    <w:rsid w:val="00B44180"/>
    <w:rsid w:val="00B54695"/>
    <w:rsid w:val="00B60771"/>
    <w:rsid w:val="00B77827"/>
    <w:rsid w:val="00B848AC"/>
    <w:rsid w:val="00B93EDF"/>
    <w:rsid w:val="00B951F8"/>
    <w:rsid w:val="00BA4D86"/>
    <w:rsid w:val="00BB0482"/>
    <w:rsid w:val="00C110C6"/>
    <w:rsid w:val="00C216CE"/>
    <w:rsid w:val="00C41175"/>
    <w:rsid w:val="00C4611F"/>
    <w:rsid w:val="00C523B6"/>
    <w:rsid w:val="00CA3930"/>
    <w:rsid w:val="00CC39CF"/>
    <w:rsid w:val="00CE178E"/>
    <w:rsid w:val="00D14165"/>
    <w:rsid w:val="00D25DBA"/>
    <w:rsid w:val="00D26F43"/>
    <w:rsid w:val="00D34DF9"/>
    <w:rsid w:val="00D555A4"/>
    <w:rsid w:val="00D74251"/>
    <w:rsid w:val="00D80C56"/>
    <w:rsid w:val="00D819FD"/>
    <w:rsid w:val="00DA486B"/>
    <w:rsid w:val="00DC48C3"/>
    <w:rsid w:val="00DD1A7A"/>
    <w:rsid w:val="00DE03F7"/>
    <w:rsid w:val="00E11E58"/>
    <w:rsid w:val="00E22E5A"/>
    <w:rsid w:val="00E45492"/>
    <w:rsid w:val="00E81B91"/>
    <w:rsid w:val="00E85E8E"/>
    <w:rsid w:val="00EC0D76"/>
    <w:rsid w:val="00F211AB"/>
    <w:rsid w:val="00F461ED"/>
    <w:rsid w:val="00FA6FA2"/>
    <w:rsid w:val="00FB748C"/>
    <w:rsid w:val="00FE700D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57D4A1"/>
  <w15:chartTrackingRefBased/>
  <w15:docId w15:val="{29798A20-8F32-40D0-8ECB-699F59C5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0914"/>
    <w:pPr>
      <w:widowControl w:val="0"/>
      <w:spacing w:line="400" w:lineRule="exact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3091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3091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30914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30914"/>
    <w:pPr>
      <w:widowControl/>
      <w:spacing w:after="160" w:line="259" w:lineRule="auto"/>
      <w:jc w:val="left"/>
    </w:pPr>
    <w:rPr>
      <w:rFonts w:ascii="Calibri Light" w:eastAsia="SimHei" w:hAnsi="Calibri Light"/>
      <w:kern w:val="0"/>
      <w:sz w:val="20"/>
      <w:szCs w:val="20"/>
    </w:rPr>
  </w:style>
  <w:style w:type="table" w:styleId="TableGrid">
    <w:name w:val="Table Grid"/>
    <w:basedOn w:val="TableNormal"/>
    <w:uiPriority w:val="39"/>
    <w:rsid w:val="001C2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F3A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A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7A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妮</dc:creator>
  <cp:keywords/>
  <dc:description/>
  <cp:lastModifiedBy>Mel Phimester</cp:lastModifiedBy>
  <cp:revision>2</cp:revision>
  <dcterms:created xsi:type="dcterms:W3CDTF">2019-10-09T04:11:00Z</dcterms:created>
  <dcterms:modified xsi:type="dcterms:W3CDTF">2019-10-09T04:11:00Z</dcterms:modified>
</cp:coreProperties>
</file>