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324D0" w14:textId="77777777" w:rsidR="00317F0C" w:rsidRDefault="00317F0C"/>
    <w:p w14:paraId="20283F64" w14:textId="77777777" w:rsidR="00DF38AF" w:rsidRDefault="00DF38AF" w:rsidP="00DF38AF">
      <w:pPr>
        <w:rPr>
          <w:rFonts w:ascii="Arial" w:hAnsi="Arial" w:cs="Arial"/>
          <w:sz w:val="22"/>
          <w:szCs w:val="22"/>
          <w:lang w:val="en-NZ"/>
        </w:rPr>
      </w:pPr>
      <w:r w:rsidRPr="002705CE">
        <w:rPr>
          <w:rFonts w:ascii="Arial" w:eastAsiaTheme="minorHAnsi" w:hAnsi="Arial" w:cs="Arial"/>
          <w:b/>
          <w:lang w:val="en-NZ"/>
        </w:rPr>
        <w:t xml:space="preserve">Appendix 1. </w:t>
      </w:r>
      <w:proofErr w:type="spellStart"/>
      <w:r w:rsidRPr="002705CE">
        <w:rPr>
          <w:rFonts w:ascii="Arial" w:eastAsiaTheme="minorHAnsi" w:hAnsi="Arial" w:cs="Arial"/>
          <w:bCs/>
          <w:lang w:val="en-NZ"/>
        </w:rPr>
        <w:t>Jadad</w:t>
      </w:r>
      <w:proofErr w:type="spellEnd"/>
      <w:r w:rsidRPr="002705CE">
        <w:rPr>
          <w:rFonts w:ascii="Arial" w:eastAsiaTheme="minorHAnsi" w:hAnsi="Arial" w:cs="Arial"/>
          <w:bCs/>
          <w:lang w:val="en-NZ"/>
        </w:rPr>
        <w:t xml:space="preserve"> score details. </w:t>
      </w:r>
      <w:r w:rsidRPr="002705CE">
        <w:rPr>
          <w:rFonts w:ascii="Arial" w:hAnsi="Arial" w:cs="Arial"/>
          <w:sz w:val="22"/>
          <w:szCs w:val="22"/>
          <w:lang w:val="en-NZ"/>
        </w:rPr>
        <w:t xml:space="preserve">The </w:t>
      </w:r>
      <w:proofErr w:type="spellStart"/>
      <w:r w:rsidRPr="002705CE">
        <w:rPr>
          <w:rFonts w:ascii="Arial" w:hAnsi="Arial" w:cs="Arial"/>
          <w:sz w:val="22"/>
          <w:szCs w:val="22"/>
          <w:lang w:val="en-NZ"/>
        </w:rPr>
        <w:t>Jadad</w:t>
      </w:r>
      <w:proofErr w:type="spellEnd"/>
      <w:r w:rsidRPr="002705CE">
        <w:rPr>
          <w:rFonts w:ascii="Arial" w:hAnsi="Arial" w:cs="Arial"/>
          <w:sz w:val="22"/>
          <w:szCs w:val="22"/>
          <w:lang w:val="en-NZ"/>
        </w:rPr>
        <w:t xml:space="preserve"> scale assesses the quality of clinical trials, based methods relevant to random assignment, double blinding, and the flow of patients. The scale comprises 7 items. The last 2 attract a negative score, which means that the range of possible scores is 0 (bad) to 5 (good). Four studies scored a 2, because the generation of the randomisation scheme was not properly described and because the design was not double-blind; 1 study scored a 3 because the design was not double-blind; 2 study scored a 4 because the generation of the randomisation scheme was not properly described; 1 study scored the maximum, 5.</w:t>
      </w:r>
      <w:r>
        <w:rPr>
          <w:rFonts w:ascii="Arial" w:hAnsi="Arial" w:cs="Arial"/>
          <w:sz w:val="22"/>
          <w:szCs w:val="22"/>
          <w:lang w:val="en-NZ"/>
        </w:rPr>
        <w:t xml:space="preserve"> </w:t>
      </w:r>
    </w:p>
    <w:p w14:paraId="4314B4AC" w14:textId="77777777" w:rsidR="00DF38AF" w:rsidRDefault="00DF38AF" w:rsidP="00DF38AF">
      <w:pPr>
        <w:rPr>
          <w:rFonts w:ascii="Arial" w:hAnsi="Arial" w:cs="Arial"/>
          <w:sz w:val="22"/>
          <w:szCs w:val="22"/>
          <w:lang w:val="en-NZ"/>
        </w:rPr>
      </w:pPr>
    </w:p>
    <w:p w14:paraId="0C64000E" w14:textId="77777777" w:rsidR="00DF38AF" w:rsidRDefault="00DF38AF"/>
    <w:p w14:paraId="7362DD31" w14:textId="77777777" w:rsidR="00DF38AF" w:rsidRDefault="00DF38AF"/>
    <w:p w14:paraId="32CCA546" w14:textId="77777777" w:rsidR="00DF38AF" w:rsidRDefault="00DF38AF"/>
    <w:p w14:paraId="6FED4DA9" w14:textId="77777777" w:rsidR="00DF38AF" w:rsidRDefault="00DF38AF"/>
    <w:p w14:paraId="7DC9476C" w14:textId="77777777" w:rsidR="00DF38AF" w:rsidRDefault="00DF38AF"/>
    <w:p w14:paraId="2DC60454" w14:textId="77777777" w:rsidR="00DF38AF" w:rsidRDefault="00DF38AF"/>
    <w:p w14:paraId="20A0DB5E" w14:textId="77777777" w:rsidR="00DF38AF" w:rsidRDefault="00DF38AF"/>
    <w:p w14:paraId="560C5840" w14:textId="77777777" w:rsidR="00DF38AF" w:rsidRDefault="00DF38AF"/>
    <w:p w14:paraId="32A26472" w14:textId="77777777" w:rsidR="00DF38AF" w:rsidRDefault="00DF38AF"/>
    <w:p w14:paraId="1AF4310C" w14:textId="77777777" w:rsidR="00DF38AF" w:rsidRDefault="00DF38AF"/>
    <w:p w14:paraId="250A65B7" w14:textId="77777777" w:rsidR="00DF38AF" w:rsidRDefault="00DF38AF"/>
    <w:p w14:paraId="1AECD47B" w14:textId="77777777" w:rsidR="00DF38AF" w:rsidRDefault="00DF38AF"/>
    <w:p w14:paraId="0AA0329A" w14:textId="77777777" w:rsidR="00DF38AF" w:rsidRDefault="00DF38AF"/>
    <w:p w14:paraId="3EC1EF19" w14:textId="77777777" w:rsidR="00DF38AF" w:rsidRDefault="00DF38AF"/>
    <w:p w14:paraId="30FE71EB" w14:textId="77777777" w:rsidR="00DF38AF" w:rsidRDefault="00DF38AF"/>
    <w:p w14:paraId="2C650410" w14:textId="77777777" w:rsidR="00DF38AF" w:rsidRDefault="00DF38AF"/>
    <w:p w14:paraId="3A599C6D" w14:textId="77777777" w:rsidR="00DF38AF" w:rsidRDefault="00DF38AF"/>
    <w:p w14:paraId="1AD2C76F" w14:textId="77777777" w:rsidR="00DF38AF" w:rsidRDefault="00DF38AF"/>
    <w:p w14:paraId="2339ABE4" w14:textId="77777777" w:rsidR="00DF38AF" w:rsidRDefault="00DF38AF"/>
    <w:p w14:paraId="76841700" w14:textId="77777777" w:rsidR="00DF38AF" w:rsidRDefault="00DF38AF"/>
    <w:p w14:paraId="44735EA6" w14:textId="77777777" w:rsidR="00DF38AF" w:rsidRDefault="00DF38AF"/>
    <w:p w14:paraId="1902E5B1" w14:textId="77777777" w:rsidR="00DF38AF" w:rsidRDefault="00DF38AF"/>
    <w:p w14:paraId="1F32738C" w14:textId="77777777" w:rsidR="00DF38AF" w:rsidRDefault="00DF38AF"/>
    <w:p w14:paraId="6D8776D5" w14:textId="77777777" w:rsidR="00DF38AF" w:rsidRDefault="00DF38AF"/>
    <w:p w14:paraId="00E6B355" w14:textId="77777777" w:rsidR="00DF38AF" w:rsidRDefault="00DF38AF"/>
    <w:p w14:paraId="2D7A715D" w14:textId="77777777" w:rsidR="00DF38AF" w:rsidRDefault="00DF38AF"/>
    <w:p w14:paraId="4D5BBA14" w14:textId="77777777" w:rsidR="00DF38AF" w:rsidRDefault="00DF38AF"/>
    <w:tbl>
      <w:tblPr>
        <w:tblpPr w:leftFromText="180" w:rightFromText="180" w:vertAnchor="page" w:horzAnchor="margin" w:tblpY="3316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440"/>
        <w:gridCol w:w="1800"/>
        <w:gridCol w:w="1350"/>
        <w:gridCol w:w="1701"/>
        <w:gridCol w:w="1701"/>
        <w:gridCol w:w="1701"/>
        <w:gridCol w:w="1843"/>
        <w:gridCol w:w="1418"/>
      </w:tblGrid>
      <w:tr w:rsidR="00DF38AF" w:rsidRPr="002705CE" w14:paraId="4946FB29" w14:textId="77777777" w:rsidTr="009161CE">
        <w:tc>
          <w:tcPr>
            <w:tcW w:w="1075" w:type="dxa"/>
            <w:shd w:val="clear" w:color="auto" w:fill="auto"/>
          </w:tcPr>
          <w:p w14:paraId="52FE6692" w14:textId="77777777" w:rsidR="00DF38AF" w:rsidRPr="002705CE" w:rsidRDefault="00DF38AF" w:rsidP="009161CE">
            <w:pPr>
              <w:pStyle w:val="TableHead"/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2705CE">
              <w:rPr>
                <w:rFonts w:ascii="Arial" w:hAnsi="Arial" w:cs="Arial"/>
                <w:bCs/>
                <w:sz w:val="20"/>
                <w:szCs w:val="20"/>
                <w:lang w:val="en-NZ"/>
              </w:rPr>
              <w:br w:type="page"/>
              <w:t>Study</w:t>
            </w:r>
          </w:p>
        </w:tc>
        <w:tc>
          <w:tcPr>
            <w:tcW w:w="1440" w:type="dxa"/>
          </w:tcPr>
          <w:p w14:paraId="04B1D459" w14:textId="77777777" w:rsidR="00DF38AF" w:rsidRPr="002705CE" w:rsidRDefault="00DF38AF" w:rsidP="009161CE">
            <w:pPr>
              <w:pStyle w:val="TableHead"/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2705CE">
              <w:rPr>
                <w:rFonts w:ascii="Arial" w:hAnsi="Arial" w:cs="Arial"/>
                <w:bCs/>
                <w:sz w:val="20"/>
                <w:szCs w:val="20"/>
                <w:lang w:val="en-NZ"/>
              </w:rPr>
              <w:t>1. Randomized</w:t>
            </w:r>
          </w:p>
          <w:p w14:paraId="352BFDA0" w14:textId="77777777" w:rsidR="00DF38AF" w:rsidRPr="002705CE" w:rsidRDefault="00DF38AF" w:rsidP="009161CE">
            <w:pPr>
              <w:pStyle w:val="TableHead"/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2705CE">
              <w:rPr>
                <w:rFonts w:ascii="Arial" w:hAnsi="Arial" w:cs="Arial"/>
                <w:bCs/>
                <w:sz w:val="20"/>
                <w:szCs w:val="20"/>
                <w:lang w:val="en-NZ"/>
              </w:rPr>
              <w:t>(+1 point)</w:t>
            </w:r>
          </w:p>
        </w:tc>
        <w:tc>
          <w:tcPr>
            <w:tcW w:w="1800" w:type="dxa"/>
          </w:tcPr>
          <w:p w14:paraId="73ADABCD" w14:textId="77777777" w:rsidR="00DF38AF" w:rsidRPr="002705CE" w:rsidRDefault="00DF38AF" w:rsidP="009161CE">
            <w:pPr>
              <w:pStyle w:val="TableHead"/>
              <w:spacing w:after="0"/>
              <w:jc w:val="left"/>
              <w:rPr>
                <w:rFonts w:ascii="Arial" w:hAnsi="Arial"/>
                <w:bCs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bCs/>
                <w:sz w:val="20"/>
                <w:szCs w:val="20"/>
                <w:lang w:val="en-NZ"/>
              </w:rPr>
              <w:t>2. Randomisation properly described</w:t>
            </w:r>
          </w:p>
          <w:p w14:paraId="68A4DF04" w14:textId="77777777" w:rsidR="00DF38AF" w:rsidRPr="002705CE" w:rsidRDefault="00DF38AF" w:rsidP="009161CE">
            <w:pPr>
              <w:pStyle w:val="TableHead"/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2705CE">
              <w:rPr>
                <w:rFonts w:ascii="Arial" w:hAnsi="Arial" w:cs="Arial"/>
                <w:bCs/>
                <w:sz w:val="20"/>
                <w:szCs w:val="20"/>
                <w:lang w:val="en-NZ"/>
              </w:rPr>
              <w:t>(+1 point)</w:t>
            </w:r>
          </w:p>
        </w:tc>
        <w:tc>
          <w:tcPr>
            <w:tcW w:w="1350" w:type="dxa"/>
            <w:shd w:val="clear" w:color="auto" w:fill="auto"/>
          </w:tcPr>
          <w:p w14:paraId="180C8CEC" w14:textId="77777777" w:rsidR="00DF38AF" w:rsidRPr="002705CE" w:rsidRDefault="00DF38AF" w:rsidP="009161CE">
            <w:pPr>
              <w:pStyle w:val="TableHead"/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2705CE">
              <w:rPr>
                <w:rFonts w:ascii="Arial" w:hAnsi="Arial" w:cs="Arial"/>
                <w:bCs/>
                <w:sz w:val="20"/>
                <w:szCs w:val="20"/>
                <w:lang w:val="en-NZ"/>
              </w:rPr>
              <w:t>3. Double blind</w:t>
            </w:r>
          </w:p>
          <w:p w14:paraId="348705DD" w14:textId="77777777" w:rsidR="00DF38AF" w:rsidRPr="002705CE" w:rsidRDefault="00DF38AF" w:rsidP="009161CE">
            <w:pPr>
              <w:pStyle w:val="TableHead"/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2705CE">
              <w:rPr>
                <w:rFonts w:ascii="Arial" w:hAnsi="Arial" w:cs="Arial"/>
                <w:bCs/>
                <w:sz w:val="20"/>
                <w:szCs w:val="20"/>
                <w:lang w:val="en-NZ"/>
              </w:rPr>
              <w:t>(+1 point)</w:t>
            </w:r>
          </w:p>
        </w:tc>
        <w:tc>
          <w:tcPr>
            <w:tcW w:w="1701" w:type="dxa"/>
            <w:shd w:val="clear" w:color="auto" w:fill="auto"/>
          </w:tcPr>
          <w:p w14:paraId="3AF8B7BE" w14:textId="77777777" w:rsidR="00DF38AF" w:rsidRPr="002705CE" w:rsidRDefault="00DF38AF" w:rsidP="009161CE">
            <w:pPr>
              <w:pStyle w:val="TableHead"/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2705CE">
              <w:rPr>
                <w:rFonts w:ascii="Arial" w:hAnsi="Arial" w:cs="Arial"/>
                <w:bCs/>
                <w:sz w:val="20"/>
                <w:szCs w:val="20"/>
                <w:lang w:val="en-NZ"/>
              </w:rPr>
              <w:t>4. Double blinding appropriately described</w:t>
            </w:r>
          </w:p>
          <w:p w14:paraId="72ADC04C" w14:textId="77777777" w:rsidR="00DF38AF" w:rsidRPr="002705CE" w:rsidRDefault="00DF38AF" w:rsidP="009161CE">
            <w:pPr>
              <w:pStyle w:val="TableHead"/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2705CE">
              <w:rPr>
                <w:rFonts w:ascii="Arial" w:hAnsi="Arial" w:cs="Arial"/>
                <w:bCs/>
                <w:sz w:val="20"/>
                <w:szCs w:val="20"/>
                <w:lang w:val="en-NZ"/>
              </w:rPr>
              <w:t>(+1 point)</w:t>
            </w:r>
          </w:p>
        </w:tc>
        <w:tc>
          <w:tcPr>
            <w:tcW w:w="1701" w:type="dxa"/>
          </w:tcPr>
          <w:p w14:paraId="0EB7205E" w14:textId="77777777" w:rsidR="00DF38AF" w:rsidRPr="002705CE" w:rsidRDefault="00DF38AF" w:rsidP="009161CE">
            <w:pPr>
              <w:pStyle w:val="TableHead"/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2705CE">
              <w:rPr>
                <w:rFonts w:ascii="Arial" w:hAnsi="Arial" w:cs="Arial"/>
                <w:bCs/>
                <w:sz w:val="20"/>
                <w:szCs w:val="20"/>
                <w:lang w:val="en-NZ"/>
              </w:rPr>
              <w:t>5. Description of withdrawals and drop-outs</w:t>
            </w:r>
          </w:p>
          <w:p w14:paraId="22617A43" w14:textId="77777777" w:rsidR="00DF38AF" w:rsidRPr="002705CE" w:rsidRDefault="00DF38AF" w:rsidP="009161CE">
            <w:pPr>
              <w:pStyle w:val="TableHead"/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2705CE">
              <w:rPr>
                <w:rFonts w:ascii="Arial" w:hAnsi="Arial" w:cs="Arial"/>
                <w:bCs/>
                <w:sz w:val="20"/>
                <w:szCs w:val="20"/>
                <w:lang w:val="en-NZ"/>
              </w:rPr>
              <w:t>(+1 point)</w:t>
            </w:r>
          </w:p>
        </w:tc>
        <w:tc>
          <w:tcPr>
            <w:tcW w:w="1701" w:type="dxa"/>
          </w:tcPr>
          <w:p w14:paraId="109C1417" w14:textId="77777777" w:rsidR="00DF38AF" w:rsidRPr="002705CE" w:rsidRDefault="00DF38AF" w:rsidP="009161CE">
            <w:pPr>
              <w:pStyle w:val="TableHead"/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2705CE">
              <w:rPr>
                <w:rFonts w:ascii="Arial" w:hAnsi="Arial" w:cs="Arial"/>
                <w:bCs/>
                <w:sz w:val="20"/>
                <w:szCs w:val="20"/>
                <w:lang w:val="en-NZ"/>
              </w:rPr>
              <w:t>6. Inappropriate randomization</w:t>
            </w:r>
          </w:p>
          <w:p w14:paraId="4EBB6F3A" w14:textId="77777777" w:rsidR="00DF38AF" w:rsidRPr="002705CE" w:rsidRDefault="00DF38AF" w:rsidP="009161CE">
            <w:pPr>
              <w:pStyle w:val="TableHead"/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2705CE">
              <w:rPr>
                <w:rFonts w:ascii="Arial" w:hAnsi="Arial" w:cs="Arial"/>
                <w:bCs/>
                <w:sz w:val="20"/>
                <w:szCs w:val="20"/>
                <w:lang w:val="en-NZ"/>
              </w:rPr>
              <w:t>(-1 point)</w:t>
            </w:r>
          </w:p>
        </w:tc>
        <w:tc>
          <w:tcPr>
            <w:tcW w:w="1843" w:type="dxa"/>
          </w:tcPr>
          <w:p w14:paraId="07A6D8BE" w14:textId="77777777" w:rsidR="00DF38AF" w:rsidRPr="002705CE" w:rsidRDefault="00DF38AF" w:rsidP="009161CE">
            <w:pPr>
              <w:pStyle w:val="TableHead"/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2705CE">
              <w:rPr>
                <w:rFonts w:ascii="Arial" w:hAnsi="Arial" w:cs="Arial"/>
                <w:bCs/>
                <w:sz w:val="20"/>
                <w:szCs w:val="20"/>
                <w:lang w:val="en-NZ"/>
              </w:rPr>
              <w:t>7. Double blinding inappropriate</w:t>
            </w:r>
          </w:p>
          <w:p w14:paraId="26D5AE3E" w14:textId="77777777" w:rsidR="00DF38AF" w:rsidRPr="002705CE" w:rsidRDefault="00DF38AF" w:rsidP="009161CE">
            <w:pPr>
              <w:pStyle w:val="TableHead"/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2705CE">
              <w:rPr>
                <w:rFonts w:ascii="Arial" w:hAnsi="Arial" w:cs="Arial"/>
                <w:bCs/>
                <w:sz w:val="20"/>
                <w:szCs w:val="20"/>
                <w:lang w:val="en-NZ"/>
              </w:rPr>
              <w:t>(-1 point)</w:t>
            </w:r>
          </w:p>
        </w:tc>
        <w:tc>
          <w:tcPr>
            <w:tcW w:w="1418" w:type="dxa"/>
          </w:tcPr>
          <w:p w14:paraId="6E8A435B" w14:textId="77777777" w:rsidR="00DF38AF" w:rsidRPr="002705CE" w:rsidRDefault="00DF38AF" w:rsidP="009161CE">
            <w:pPr>
              <w:pStyle w:val="TableHead"/>
              <w:spacing w:after="0"/>
              <w:jc w:val="left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 w:cs="Arial"/>
                <w:sz w:val="20"/>
                <w:szCs w:val="20"/>
                <w:lang w:val="en-NZ"/>
              </w:rPr>
              <w:t>Total score</w:t>
            </w:r>
          </w:p>
        </w:tc>
      </w:tr>
      <w:tr w:rsidR="00DF38AF" w:rsidRPr="002705CE" w14:paraId="779F5909" w14:textId="77777777" w:rsidTr="009161CE">
        <w:tc>
          <w:tcPr>
            <w:tcW w:w="14029" w:type="dxa"/>
            <w:gridSpan w:val="9"/>
            <w:shd w:val="clear" w:color="auto" w:fill="auto"/>
            <w:vAlign w:val="center"/>
          </w:tcPr>
          <w:p w14:paraId="431E2C89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b/>
                <w:sz w:val="22"/>
                <w:szCs w:val="22"/>
                <w:lang w:val="en-NZ"/>
              </w:rPr>
            </w:pPr>
            <w:r w:rsidRPr="002705CE">
              <w:rPr>
                <w:rFonts w:ascii="Arial" w:hAnsi="Arial"/>
                <w:b/>
                <w:sz w:val="22"/>
                <w:szCs w:val="22"/>
                <w:lang w:val="en-NZ"/>
              </w:rPr>
              <w:t>Studies in streptococcal pharyngitis (n=5)</w:t>
            </w:r>
          </w:p>
        </w:tc>
      </w:tr>
      <w:tr w:rsidR="00DF38AF" w:rsidRPr="002705CE" w14:paraId="0C9C743F" w14:textId="77777777" w:rsidTr="009161CE">
        <w:tc>
          <w:tcPr>
            <w:tcW w:w="1075" w:type="dxa"/>
            <w:shd w:val="clear" w:color="auto" w:fill="FFC000"/>
            <w:vAlign w:val="center"/>
          </w:tcPr>
          <w:p w14:paraId="3727A33C" w14:textId="77777777" w:rsidR="00DF38AF" w:rsidRPr="002705CE" w:rsidRDefault="00DF38AF" w:rsidP="009161CE">
            <w:pPr>
              <w:pStyle w:val="TableLeft"/>
              <w:spacing w:after="0" w:line="480" w:lineRule="auto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M86-008</w:t>
            </w:r>
          </w:p>
        </w:tc>
        <w:tc>
          <w:tcPr>
            <w:tcW w:w="1440" w:type="dxa"/>
            <w:shd w:val="clear" w:color="auto" w:fill="FFC000"/>
            <w:vAlign w:val="center"/>
          </w:tcPr>
          <w:p w14:paraId="06ADFD1B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+1</w:t>
            </w:r>
          </w:p>
        </w:tc>
        <w:tc>
          <w:tcPr>
            <w:tcW w:w="1800" w:type="dxa"/>
            <w:shd w:val="clear" w:color="auto" w:fill="FFC000"/>
            <w:vAlign w:val="center"/>
          </w:tcPr>
          <w:p w14:paraId="5BD3B326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NO</w:t>
            </w:r>
          </w:p>
        </w:tc>
        <w:tc>
          <w:tcPr>
            <w:tcW w:w="1350" w:type="dxa"/>
            <w:shd w:val="clear" w:color="auto" w:fill="FFC000"/>
            <w:vAlign w:val="center"/>
          </w:tcPr>
          <w:p w14:paraId="638C9770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+1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239A8D57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+1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7B2CFA6C" w14:textId="77777777" w:rsidR="00DF38AF" w:rsidRPr="002705CE" w:rsidRDefault="00DF38AF" w:rsidP="009161CE">
            <w:pPr>
              <w:pStyle w:val="TableLeft"/>
              <w:spacing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+1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07900DCE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NO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3C6E4205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bCs w:val="0"/>
                <w:sz w:val="22"/>
                <w:szCs w:val="22"/>
                <w:lang w:val="en-NZ"/>
              </w:rPr>
            </w:pPr>
            <w:r w:rsidRPr="002705CE">
              <w:rPr>
                <w:rFonts w:ascii="Arial" w:hAnsi="Arial"/>
                <w:bCs w:val="0"/>
                <w:sz w:val="22"/>
                <w:szCs w:val="22"/>
                <w:lang w:val="en-NZ"/>
              </w:rPr>
              <w:t>NO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6CE79DC5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bCs w:val="0"/>
                <w:sz w:val="22"/>
                <w:szCs w:val="22"/>
                <w:lang w:val="en-NZ"/>
              </w:rPr>
            </w:pPr>
            <w:r w:rsidRPr="002705CE">
              <w:rPr>
                <w:rFonts w:ascii="Arial" w:hAnsi="Arial"/>
                <w:bCs w:val="0"/>
                <w:sz w:val="22"/>
                <w:szCs w:val="22"/>
                <w:lang w:val="en-NZ"/>
              </w:rPr>
              <w:t>4</w:t>
            </w:r>
          </w:p>
        </w:tc>
      </w:tr>
      <w:tr w:rsidR="00DF38AF" w:rsidRPr="002705CE" w14:paraId="351EB896" w14:textId="77777777" w:rsidTr="009161CE">
        <w:tc>
          <w:tcPr>
            <w:tcW w:w="1075" w:type="dxa"/>
            <w:shd w:val="clear" w:color="auto" w:fill="BDD6EE" w:themeFill="accent5" w:themeFillTint="66"/>
            <w:vAlign w:val="center"/>
          </w:tcPr>
          <w:p w14:paraId="69245B18" w14:textId="77777777" w:rsidR="00DF38AF" w:rsidRPr="002705CE" w:rsidRDefault="00DF38AF" w:rsidP="009161CE">
            <w:pPr>
              <w:pStyle w:val="TableLeft"/>
              <w:spacing w:after="0" w:line="480" w:lineRule="auto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M86-030</w:t>
            </w:r>
          </w:p>
        </w:tc>
        <w:tc>
          <w:tcPr>
            <w:tcW w:w="1440" w:type="dxa"/>
            <w:shd w:val="clear" w:color="auto" w:fill="BDD6EE" w:themeFill="accent5" w:themeFillTint="66"/>
            <w:vAlign w:val="center"/>
          </w:tcPr>
          <w:p w14:paraId="32C78920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+1</w:t>
            </w:r>
          </w:p>
        </w:tc>
        <w:tc>
          <w:tcPr>
            <w:tcW w:w="1800" w:type="dxa"/>
            <w:shd w:val="clear" w:color="auto" w:fill="BDD6EE" w:themeFill="accent5" w:themeFillTint="66"/>
            <w:vAlign w:val="center"/>
          </w:tcPr>
          <w:p w14:paraId="2BE46F90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NO</w:t>
            </w:r>
          </w:p>
        </w:tc>
        <w:tc>
          <w:tcPr>
            <w:tcW w:w="1350" w:type="dxa"/>
            <w:shd w:val="clear" w:color="auto" w:fill="BDD6EE" w:themeFill="accent5" w:themeFillTint="66"/>
            <w:vAlign w:val="center"/>
          </w:tcPr>
          <w:p w14:paraId="7598A01B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NO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7B431FDF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NA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592A95C9" w14:textId="77777777" w:rsidR="00DF38AF" w:rsidRPr="002705CE" w:rsidRDefault="00DF38AF" w:rsidP="009161CE">
            <w:pPr>
              <w:pStyle w:val="TableLeft"/>
              <w:spacing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+1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51C12FE3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NO</w:t>
            </w: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7B56F892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bCs w:val="0"/>
                <w:sz w:val="22"/>
                <w:szCs w:val="22"/>
                <w:lang w:val="en-NZ"/>
              </w:rPr>
            </w:pPr>
            <w:r w:rsidRPr="002705CE">
              <w:rPr>
                <w:rFonts w:ascii="Arial" w:hAnsi="Arial"/>
                <w:bCs w:val="0"/>
                <w:sz w:val="22"/>
                <w:szCs w:val="22"/>
                <w:lang w:val="en-NZ"/>
              </w:rPr>
              <w:t>NA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528AE276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bCs w:val="0"/>
                <w:sz w:val="22"/>
                <w:szCs w:val="22"/>
                <w:lang w:val="en-NZ"/>
              </w:rPr>
            </w:pPr>
            <w:r w:rsidRPr="002705CE">
              <w:rPr>
                <w:rFonts w:ascii="Arial" w:hAnsi="Arial"/>
                <w:bCs w:val="0"/>
                <w:sz w:val="22"/>
                <w:szCs w:val="22"/>
                <w:lang w:val="en-NZ"/>
              </w:rPr>
              <w:t>2</w:t>
            </w:r>
          </w:p>
        </w:tc>
      </w:tr>
      <w:tr w:rsidR="00DF38AF" w:rsidRPr="002705CE" w14:paraId="290572AF" w14:textId="77777777" w:rsidTr="009161CE">
        <w:tc>
          <w:tcPr>
            <w:tcW w:w="1075" w:type="dxa"/>
            <w:shd w:val="clear" w:color="auto" w:fill="FFC000"/>
            <w:vAlign w:val="center"/>
          </w:tcPr>
          <w:p w14:paraId="769C25A9" w14:textId="77777777" w:rsidR="00DF38AF" w:rsidRPr="002705CE" w:rsidRDefault="00DF38AF" w:rsidP="009161CE">
            <w:pPr>
              <w:pStyle w:val="TableLeft"/>
              <w:spacing w:after="0" w:line="480" w:lineRule="auto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M85-129</w:t>
            </w:r>
          </w:p>
        </w:tc>
        <w:tc>
          <w:tcPr>
            <w:tcW w:w="1440" w:type="dxa"/>
            <w:shd w:val="clear" w:color="auto" w:fill="FFC000"/>
            <w:vAlign w:val="center"/>
          </w:tcPr>
          <w:p w14:paraId="5F5DB60F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+1</w:t>
            </w:r>
          </w:p>
        </w:tc>
        <w:tc>
          <w:tcPr>
            <w:tcW w:w="1800" w:type="dxa"/>
            <w:shd w:val="clear" w:color="auto" w:fill="FFC000"/>
            <w:vAlign w:val="center"/>
          </w:tcPr>
          <w:p w14:paraId="291E4C6B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NO</w:t>
            </w:r>
          </w:p>
        </w:tc>
        <w:tc>
          <w:tcPr>
            <w:tcW w:w="1350" w:type="dxa"/>
            <w:shd w:val="clear" w:color="auto" w:fill="FFC000"/>
            <w:vAlign w:val="center"/>
          </w:tcPr>
          <w:p w14:paraId="0A667F17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+1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19263D25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+1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6B047939" w14:textId="77777777" w:rsidR="00DF38AF" w:rsidRPr="002705CE" w:rsidRDefault="00DF38AF" w:rsidP="009161CE">
            <w:pPr>
              <w:pStyle w:val="TableLeft"/>
              <w:spacing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+1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25AB762C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NO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3DE13034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bCs w:val="0"/>
                <w:sz w:val="22"/>
                <w:szCs w:val="22"/>
                <w:lang w:val="en-NZ"/>
              </w:rPr>
            </w:pPr>
            <w:r w:rsidRPr="002705CE">
              <w:rPr>
                <w:rFonts w:ascii="Arial" w:hAnsi="Arial"/>
                <w:bCs w:val="0"/>
                <w:sz w:val="22"/>
                <w:szCs w:val="22"/>
                <w:lang w:val="en-NZ"/>
              </w:rPr>
              <w:t>NO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030319E7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bCs w:val="0"/>
                <w:sz w:val="22"/>
                <w:szCs w:val="22"/>
                <w:lang w:val="en-NZ"/>
              </w:rPr>
            </w:pPr>
            <w:r w:rsidRPr="002705CE">
              <w:rPr>
                <w:rFonts w:ascii="Arial" w:hAnsi="Arial"/>
                <w:bCs w:val="0"/>
                <w:sz w:val="22"/>
                <w:szCs w:val="22"/>
                <w:lang w:val="en-NZ"/>
              </w:rPr>
              <w:t>4</w:t>
            </w:r>
          </w:p>
        </w:tc>
      </w:tr>
      <w:tr w:rsidR="00DF38AF" w:rsidRPr="002705CE" w14:paraId="2350C234" w14:textId="77777777" w:rsidTr="009161CE">
        <w:tc>
          <w:tcPr>
            <w:tcW w:w="1075" w:type="dxa"/>
            <w:shd w:val="clear" w:color="auto" w:fill="BDD6EE" w:themeFill="accent5" w:themeFillTint="66"/>
            <w:vAlign w:val="center"/>
          </w:tcPr>
          <w:p w14:paraId="510D6D28" w14:textId="77777777" w:rsidR="00DF38AF" w:rsidRPr="002705CE" w:rsidRDefault="00DF38AF" w:rsidP="009161CE">
            <w:pPr>
              <w:pStyle w:val="TableLeft"/>
              <w:spacing w:after="0" w:line="480" w:lineRule="auto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M86-047</w:t>
            </w:r>
          </w:p>
        </w:tc>
        <w:tc>
          <w:tcPr>
            <w:tcW w:w="1440" w:type="dxa"/>
            <w:shd w:val="clear" w:color="auto" w:fill="BDD6EE" w:themeFill="accent5" w:themeFillTint="66"/>
            <w:vAlign w:val="center"/>
          </w:tcPr>
          <w:p w14:paraId="0B217040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+1</w:t>
            </w:r>
          </w:p>
        </w:tc>
        <w:tc>
          <w:tcPr>
            <w:tcW w:w="1800" w:type="dxa"/>
            <w:shd w:val="clear" w:color="auto" w:fill="BDD6EE" w:themeFill="accent5" w:themeFillTint="66"/>
            <w:vAlign w:val="center"/>
          </w:tcPr>
          <w:p w14:paraId="1CDBFD20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NO</w:t>
            </w:r>
          </w:p>
        </w:tc>
        <w:tc>
          <w:tcPr>
            <w:tcW w:w="1350" w:type="dxa"/>
            <w:shd w:val="clear" w:color="auto" w:fill="BDD6EE" w:themeFill="accent5" w:themeFillTint="66"/>
            <w:vAlign w:val="center"/>
          </w:tcPr>
          <w:p w14:paraId="3E8A7F1B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NO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623AF76A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NA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0B3277BA" w14:textId="77777777" w:rsidR="00DF38AF" w:rsidRPr="002705CE" w:rsidRDefault="00DF38AF" w:rsidP="009161CE">
            <w:pPr>
              <w:pStyle w:val="TableLeft"/>
              <w:spacing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+1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2A27C25C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NO</w:t>
            </w: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52580835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bCs w:val="0"/>
                <w:sz w:val="22"/>
                <w:szCs w:val="22"/>
                <w:lang w:val="en-NZ"/>
              </w:rPr>
            </w:pPr>
            <w:r w:rsidRPr="002705CE">
              <w:rPr>
                <w:rFonts w:ascii="Arial" w:hAnsi="Arial"/>
                <w:bCs w:val="0"/>
                <w:sz w:val="22"/>
                <w:szCs w:val="22"/>
                <w:lang w:val="en-NZ"/>
              </w:rPr>
              <w:t>NA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163FA95B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bCs w:val="0"/>
                <w:sz w:val="22"/>
                <w:szCs w:val="22"/>
                <w:lang w:val="en-NZ"/>
              </w:rPr>
            </w:pPr>
            <w:r w:rsidRPr="002705CE">
              <w:rPr>
                <w:rFonts w:ascii="Arial" w:hAnsi="Arial"/>
                <w:bCs w:val="0"/>
                <w:sz w:val="22"/>
                <w:szCs w:val="22"/>
                <w:lang w:val="en-NZ"/>
              </w:rPr>
              <w:t>2</w:t>
            </w:r>
          </w:p>
        </w:tc>
      </w:tr>
      <w:tr w:rsidR="00DF38AF" w:rsidRPr="002705CE" w14:paraId="7A148C6B" w14:textId="77777777" w:rsidTr="009161C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6C371CEE" w14:textId="77777777" w:rsidR="00DF38AF" w:rsidRPr="002705CE" w:rsidRDefault="00DF38AF" w:rsidP="009161CE">
            <w:pPr>
              <w:pStyle w:val="TableLeft"/>
              <w:spacing w:after="0" w:line="480" w:lineRule="auto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M88-165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195DC0B6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+1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CB6CF79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+1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4C422821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210A454B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221116C7" w14:textId="77777777" w:rsidR="00DF38AF" w:rsidRPr="002705CE" w:rsidRDefault="00DF38AF" w:rsidP="009161CE">
            <w:pPr>
              <w:pStyle w:val="TableLeft"/>
              <w:spacing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04A3A38B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sz w:val="20"/>
                <w:szCs w:val="20"/>
                <w:lang w:val="en-NZ"/>
              </w:rPr>
            </w:pPr>
            <w:r w:rsidRPr="002705CE">
              <w:rPr>
                <w:rFonts w:ascii="Arial" w:hAnsi="Arial"/>
                <w:sz w:val="20"/>
                <w:szCs w:val="20"/>
                <w:lang w:val="en-NZ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14C5B768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bCs w:val="0"/>
                <w:sz w:val="22"/>
                <w:szCs w:val="22"/>
                <w:lang w:val="en-NZ"/>
              </w:rPr>
            </w:pPr>
            <w:r w:rsidRPr="002705CE">
              <w:rPr>
                <w:rFonts w:ascii="Arial" w:hAnsi="Arial"/>
                <w:bCs w:val="0"/>
                <w:sz w:val="22"/>
                <w:szCs w:val="22"/>
                <w:lang w:val="en-NZ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0019D532" w14:textId="77777777" w:rsidR="00DF38AF" w:rsidRPr="002705CE" w:rsidRDefault="00DF38AF" w:rsidP="009161CE">
            <w:pPr>
              <w:pStyle w:val="TableLeft"/>
              <w:spacing w:after="0" w:line="480" w:lineRule="auto"/>
              <w:jc w:val="center"/>
              <w:rPr>
                <w:rFonts w:ascii="Arial" w:hAnsi="Arial"/>
                <w:bCs w:val="0"/>
                <w:sz w:val="22"/>
                <w:szCs w:val="22"/>
                <w:lang w:val="en-NZ"/>
              </w:rPr>
            </w:pPr>
            <w:r w:rsidRPr="002705CE">
              <w:rPr>
                <w:rFonts w:ascii="Arial" w:hAnsi="Arial"/>
                <w:bCs w:val="0"/>
                <w:sz w:val="22"/>
                <w:szCs w:val="22"/>
                <w:lang w:val="en-NZ"/>
              </w:rPr>
              <w:t>5</w:t>
            </w:r>
          </w:p>
        </w:tc>
      </w:tr>
    </w:tbl>
    <w:p w14:paraId="015BD9FD" w14:textId="77777777" w:rsidR="00DF38AF" w:rsidRDefault="00DF38AF"/>
    <w:p w14:paraId="3BC67C6D" w14:textId="77777777" w:rsidR="00DF38AF" w:rsidRPr="00DF38AF" w:rsidRDefault="00DF38AF">
      <w:pPr>
        <w:rPr>
          <w:b/>
        </w:rPr>
      </w:pPr>
      <w:bookmarkStart w:id="0" w:name="_GoBack"/>
      <w:bookmarkEnd w:id="0"/>
    </w:p>
    <w:sectPr w:rsidR="00DF38AF" w:rsidRPr="00DF38AF" w:rsidSect="00DF38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AF"/>
    <w:rsid w:val="00317F0C"/>
    <w:rsid w:val="00D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5C9B"/>
  <w15:chartTrackingRefBased/>
  <w15:docId w15:val="{2B4FC1C1-AC69-4BF3-8190-88318055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">
    <w:name w:val="Table Head"/>
    <w:basedOn w:val="Normal"/>
    <w:rsid w:val="00DF38AF"/>
    <w:pPr>
      <w:spacing w:after="60"/>
      <w:jc w:val="center"/>
    </w:pPr>
    <w:rPr>
      <w:b/>
      <w:szCs w:val="48"/>
    </w:rPr>
  </w:style>
  <w:style w:type="paragraph" w:customStyle="1" w:styleId="TableLeft">
    <w:name w:val="Table Left"/>
    <w:rsid w:val="00DF38AF"/>
    <w:pPr>
      <w:spacing w:after="60" w:line="240" w:lineRule="auto"/>
    </w:pPr>
    <w:rPr>
      <w:rFonts w:ascii="Times New Roman" w:eastAsia="Times New Roman" w:hAnsi="Times New Roman" w:cs="Arial"/>
      <w:bCs/>
      <w:kern w:val="3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C96389-4573-48DB-AC12-671BEFD0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CF4F2-D411-4B7D-95D6-451AA1879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7E042-A1FA-4DC9-8276-60588895D2E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cb5a929-a351-4e0f-b46b-be99a4aa8e8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Olliver</dc:creator>
  <cp:keywords/>
  <dc:description/>
  <cp:lastModifiedBy>Tania Olliver</cp:lastModifiedBy>
  <cp:revision>1</cp:revision>
  <dcterms:created xsi:type="dcterms:W3CDTF">2019-09-18T03:03:00Z</dcterms:created>
  <dcterms:modified xsi:type="dcterms:W3CDTF">2019-09-18T03:05:00Z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