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71458" w14:textId="11E190E6" w:rsidR="001F6A38" w:rsidRPr="00AD360E" w:rsidRDefault="001F6A38" w:rsidP="00597852">
      <w:pPr>
        <w:keepNext/>
        <w:keepLines/>
        <w:spacing w:before="240" w:after="120" w:line="480" w:lineRule="auto"/>
        <w:outlineLvl w:val="0"/>
        <w:rPr>
          <w:rFonts w:ascii="Arial" w:eastAsia="MS Gothic" w:hAnsi="Arial" w:cs="Arial"/>
          <w:b/>
          <w:bCs/>
          <w:sz w:val="32"/>
          <w:szCs w:val="20"/>
          <w:lang w:val="en-US"/>
        </w:rPr>
      </w:pPr>
      <w:r w:rsidRPr="00AD360E">
        <w:rPr>
          <w:rFonts w:ascii="Arial" w:eastAsia="MS Gothic" w:hAnsi="Arial" w:cs="Arial"/>
          <w:b/>
          <w:bCs/>
          <w:sz w:val="32"/>
          <w:szCs w:val="20"/>
          <w:lang w:val="en-US"/>
        </w:rPr>
        <w:t>Supplement</w:t>
      </w:r>
      <w:r w:rsidR="005D7393">
        <w:rPr>
          <w:rFonts w:ascii="Arial" w:eastAsia="MS Gothic" w:hAnsi="Arial" w:cs="Arial"/>
          <w:b/>
          <w:bCs/>
          <w:sz w:val="32"/>
          <w:szCs w:val="20"/>
          <w:lang w:val="en-US"/>
        </w:rPr>
        <w:t xml:space="preserve"> materials </w:t>
      </w:r>
      <w:bookmarkStart w:id="0" w:name="_GoBack"/>
      <w:bookmarkEnd w:id="0"/>
    </w:p>
    <w:p w14:paraId="327431F0" w14:textId="77777777" w:rsidR="001F6A38" w:rsidRPr="00935AAF" w:rsidRDefault="001F6A38">
      <w:pPr>
        <w:keepNext/>
        <w:keepLines/>
        <w:spacing w:before="240" w:after="120" w:line="480" w:lineRule="auto"/>
        <w:outlineLvl w:val="0"/>
        <w:rPr>
          <w:rFonts w:ascii="Arial" w:eastAsia="MS Gothic" w:hAnsi="Arial" w:cs="Arial"/>
          <w:bCs/>
          <w:sz w:val="20"/>
          <w:szCs w:val="20"/>
          <w:lang w:val="en-US"/>
        </w:rPr>
      </w:pPr>
      <w:r w:rsidRPr="00935AAF">
        <w:rPr>
          <w:rFonts w:ascii="Arial" w:eastAsia="MS Gothic" w:hAnsi="Arial" w:cs="Arial"/>
          <w:b/>
          <w:bCs/>
          <w:sz w:val="20"/>
          <w:szCs w:val="20"/>
          <w:lang w:val="en-US"/>
        </w:rPr>
        <w:t xml:space="preserve">Table S1 </w:t>
      </w:r>
      <w:r w:rsidRPr="00935AAF">
        <w:rPr>
          <w:rFonts w:ascii="Arial" w:eastAsia="MS Gothic" w:hAnsi="Arial" w:cs="Arial"/>
          <w:bCs/>
          <w:sz w:val="20"/>
          <w:szCs w:val="20"/>
          <w:lang w:val="en-US"/>
        </w:rPr>
        <w:t>Proportion of patients with</w:t>
      </w:r>
      <w:r w:rsidRPr="00935AAF">
        <w:rPr>
          <w:rFonts w:ascii="Arial" w:eastAsia="MS Gothic" w:hAnsi="Arial" w:cs="Arial"/>
          <w:b/>
          <w:bCs/>
          <w:sz w:val="20"/>
          <w:szCs w:val="20"/>
          <w:lang w:val="en-US"/>
        </w:rPr>
        <w:t xml:space="preserve"> </w:t>
      </w:r>
      <w:r w:rsidRPr="00935AAF">
        <w:rPr>
          <w:rFonts w:ascii="Arial" w:eastAsia="MS Gothic" w:hAnsi="Arial" w:cs="Arial"/>
          <w:bCs/>
          <w:sz w:val="20"/>
          <w:szCs w:val="20"/>
          <w:lang w:val="en-US"/>
        </w:rPr>
        <w:t>COPD-related pharmacy encounters in the observation period by EOS and MITT treatment status</w:t>
      </w:r>
    </w:p>
    <w:tbl>
      <w:tblPr>
        <w:tblStyle w:val="TableGrid"/>
        <w:tblW w:w="13750" w:type="dxa"/>
        <w:tblLook w:val="04A0" w:firstRow="1" w:lastRow="0" w:firstColumn="1" w:lastColumn="0" w:noHBand="0" w:noVBand="1"/>
      </w:tblPr>
      <w:tblGrid>
        <w:gridCol w:w="2291"/>
        <w:gridCol w:w="1146"/>
        <w:gridCol w:w="1146"/>
        <w:gridCol w:w="2292"/>
        <w:gridCol w:w="2291"/>
        <w:gridCol w:w="1146"/>
        <w:gridCol w:w="1146"/>
        <w:gridCol w:w="2292"/>
      </w:tblGrid>
      <w:tr w:rsidR="001F6A38" w:rsidRPr="00597852" w14:paraId="3944C872" w14:textId="77777777" w:rsidTr="00597852">
        <w:tc>
          <w:tcPr>
            <w:tcW w:w="3437" w:type="dxa"/>
            <w:gridSpan w:val="2"/>
            <w:tcBorders>
              <w:left w:val="nil"/>
              <w:bottom w:val="nil"/>
              <w:right w:val="nil"/>
            </w:tcBorders>
          </w:tcPr>
          <w:p w14:paraId="2EAC7FFB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AB69813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F4ED37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Not receiving MITT</w:t>
            </w:r>
          </w:p>
        </w:tc>
        <w:tc>
          <w:tcPr>
            <w:tcW w:w="34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3D286E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Receiving MITT</w:t>
            </w:r>
          </w:p>
        </w:tc>
      </w:tr>
      <w:tr w:rsidR="001F6A38" w:rsidRPr="00597852" w14:paraId="7B87976E" w14:textId="77777777" w:rsidTr="00597852"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A9801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628FE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Population of interest (N=34,268)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F6ED2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&lt;150 cells/µL (N=6892)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B19E7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≥150 cells/µL (N=16,480)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D5B75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&lt;150 cells/µL (N=3199)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A6C3F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≥150 cells/µL (N=7697)</w:t>
            </w:r>
          </w:p>
        </w:tc>
      </w:tr>
      <w:tr w:rsidR="001F6A38" w:rsidRPr="00597852" w14:paraId="20AF856D" w14:textId="77777777" w:rsidTr="00597852">
        <w:tc>
          <w:tcPr>
            <w:tcW w:w="2291" w:type="dxa"/>
            <w:tcBorders>
              <w:left w:val="nil"/>
              <w:bottom w:val="nil"/>
              <w:right w:val="nil"/>
            </w:tcBorders>
          </w:tcPr>
          <w:p w14:paraId="1BC96268" w14:textId="77777777" w:rsidR="001F6A38" w:rsidRPr="00935AAF" w:rsidRDefault="001F6A38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Drug class, %</w:t>
            </w:r>
          </w:p>
        </w:tc>
        <w:tc>
          <w:tcPr>
            <w:tcW w:w="22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7D0E49C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left w:val="nil"/>
              <w:bottom w:val="nil"/>
              <w:right w:val="nil"/>
            </w:tcBorders>
            <w:vAlign w:val="center"/>
          </w:tcPr>
          <w:p w14:paraId="43DEEA52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1" w:type="dxa"/>
            <w:tcBorders>
              <w:left w:val="nil"/>
              <w:bottom w:val="nil"/>
              <w:right w:val="nil"/>
            </w:tcBorders>
            <w:vAlign w:val="center"/>
          </w:tcPr>
          <w:p w14:paraId="59D027BA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90DF8B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left w:val="nil"/>
              <w:bottom w:val="nil"/>
              <w:right w:val="nil"/>
            </w:tcBorders>
            <w:vAlign w:val="center"/>
          </w:tcPr>
          <w:p w14:paraId="4DDC8A39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1F6A38" w:rsidRPr="00597852" w14:paraId="7EF0490A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89E5C7A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SABA-SAMA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E5870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71.5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EA3894B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65.9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2D6DC76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68.8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46904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79.2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ACDA99A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79.1</w:t>
            </w:r>
          </w:p>
        </w:tc>
      </w:tr>
      <w:tr w:rsidR="001F6A38" w:rsidRPr="00597852" w14:paraId="64BD2EE4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32F0B80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SAMA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92BE8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30.0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C76272B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26.2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BC965D4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26.6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43B3F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37.7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271D9CD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37.6</w:t>
            </w:r>
          </w:p>
        </w:tc>
      </w:tr>
      <w:tr w:rsidR="001F6A38" w:rsidRPr="00597852" w14:paraId="00285A0B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8BCBB1E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SABA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35A06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86.8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D814FC6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82.0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4DE5697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83.3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CBBD7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94.8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DAF10E8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95.2</w:t>
            </w:r>
          </w:p>
        </w:tc>
      </w:tr>
      <w:tr w:rsidR="001F6A38" w:rsidRPr="00597852" w14:paraId="41F54668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7130F98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Antibiotics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A0B85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82.3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30A8B240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79.2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2CB1F49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81.6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C0BC9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84.9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2DCF6D0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85.7</w:t>
            </w:r>
          </w:p>
        </w:tc>
      </w:tr>
      <w:tr w:rsidR="001F6A38" w:rsidRPr="00597852" w14:paraId="43D04339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99ACA23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Any OCS use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9900F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86.9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B28664B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83.7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7E912B9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84.6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04E59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92.2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C4A9203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92.4</w:t>
            </w:r>
          </w:p>
        </w:tc>
      </w:tr>
      <w:tr w:rsidR="001F6A38" w:rsidRPr="00597852" w14:paraId="2CC01A28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7AFBC26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ICS/LABA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1BA80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59.1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7EC78EB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5E7C6F5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42.7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87AF2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95.4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1217CDD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94.5</w:t>
            </w:r>
          </w:p>
        </w:tc>
      </w:tr>
      <w:tr w:rsidR="001F6A38" w:rsidRPr="00597852" w14:paraId="260BBB94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0B82B59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LABA/LAMA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3E5BA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3.0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770D5BA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EC43383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8F47D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4C85FB0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5.4</w:t>
            </w:r>
          </w:p>
        </w:tc>
      </w:tr>
      <w:tr w:rsidR="001F6A38" w:rsidRPr="00597852" w14:paraId="17F3ADDB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B27F209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LABA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D11DF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7.5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723603D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3300843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5.7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9AED0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2740514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11.6</w:t>
            </w:r>
          </w:p>
        </w:tc>
      </w:tr>
      <w:tr w:rsidR="001F6A38" w:rsidRPr="00597852" w14:paraId="129C1426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A615903" w14:textId="77777777" w:rsidR="001F6A38" w:rsidRPr="00935AAF" w:rsidRDefault="001F6A38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LAMA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0B99C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55.3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7FD5057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35.0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BFFFC0F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35.5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5BF38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E356CCE" w14:textId="77777777" w:rsidR="001F6A38" w:rsidRPr="00935AAF" w:rsidRDefault="001F6A38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98.1</w:t>
            </w:r>
          </w:p>
        </w:tc>
      </w:tr>
      <w:tr w:rsidR="001F6A38" w:rsidRPr="00597852" w14:paraId="30D566A9" w14:textId="77777777" w:rsidTr="00597852"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8BDAC48" w14:textId="77777777" w:rsidR="001F6A38" w:rsidRPr="00935AAF" w:rsidRDefault="001F6A38" w:rsidP="00213EF5">
            <w:pPr>
              <w:keepNext/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lastRenderedPageBreak/>
              <w:t>PDE4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6FBA7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8712A09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8665232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C011D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2736ACF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9.1</w:t>
            </w:r>
          </w:p>
        </w:tc>
      </w:tr>
      <w:tr w:rsidR="001F6A38" w:rsidRPr="00597852" w14:paraId="50FAE275" w14:textId="77777777" w:rsidTr="00597852"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0249C" w14:textId="77777777" w:rsidR="001F6A38" w:rsidRPr="00935AAF" w:rsidRDefault="001F6A38" w:rsidP="00213EF5">
            <w:pPr>
              <w:keepNext/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Theophylline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92587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48.8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17000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43.3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2A689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45.1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BBD3E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57.8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7EDCF" w14:textId="77777777" w:rsidR="001F6A38" w:rsidRPr="00935AAF" w:rsidRDefault="001F6A38" w:rsidP="00213EF5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58.2</w:t>
            </w:r>
          </w:p>
        </w:tc>
      </w:tr>
    </w:tbl>
    <w:p w14:paraId="43CE8E8D" w14:textId="77777777" w:rsidR="001F6A38" w:rsidRPr="00597852" w:rsidRDefault="00597852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EOS, blood eosinophil count; ICS, inhaled corticosteroid; LABA, long-acting β</w:t>
      </w:r>
      <w:r w:rsidR="001F6A38" w:rsidRPr="00597852">
        <w:rPr>
          <w:rFonts w:ascii="Arial" w:eastAsia="MS Mincho" w:hAnsi="Arial" w:cs="Arial"/>
          <w:sz w:val="20"/>
          <w:szCs w:val="20"/>
          <w:vertAlign w:val="subscript"/>
          <w:lang w:val="en-US"/>
        </w:rPr>
        <w:t>2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-agonist; LAMA, short-acting muscarinic-antagonist; MITT, multiple inhaled triple therapy; OCS, oral corticosteroid; PDE4, phosphodiesterase 4; SABA, short-acting β</w:t>
      </w:r>
      <w:r w:rsidR="001F6A38" w:rsidRPr="00597852">
        <w:rPr>
          <w:rFonts w:ascii="Arial" w:eastAsia="MS Mincho" w:hAnsi="Arial" w:cs="Arial"/>
          <w:sz w:val="20"/>
          <w:szCs w:val="20"/>
          <w:vertAlign w:val="subscript"/>
          <w:lang w:val="en-US"/>
        </w:rPr>
        <w:t>2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-agonist; SAMA, short-acting muscarinic-antagonist.   </w:t>
      </w:r>
    </w:p>
    <w:p w14:paraId="663F8E36" w14:textId="77777777" w:rsidR="001F6A38" w:rsidRPr="00597852" w:rsidRDefault="001F6A38">
      <w:pPr>
        <w:spacing w:before="60" w:after="6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597852">
        <w:rPr>
          <w:rFonts w:ascii="Arial" w:eastAsia="MS Mincho" w:hAnsi="Arial" w:cs="Arial"/>
          <w:sz w:val="20"/>
          <w:szCs w:val="20"/>
          <w:lang w:val="en-US"/>
        </w:rPr>
        <w:br w:type="page"/>
      </w:r>
    </w:p>
    <w:p w14:paraId="2F3FA966" w14:textId="77777777" w:rsidR="00935AAF" w:rsidRDefault="00935AAF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  <w:sectPr w:rsidR="00935AAF" w:rsidSect="0059785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8528A98" w14:textId="77777777" w:rsidR="001F6A38" w:rsidRPr="00935AAF" w:rsidRDefault="001F6A38">
      <w:pPr>
        <w:keepNext/>
        <w:keepLines/>
        <w:spacing w:before="240" w:after="120" w:line="480" w:lineRule="auto"/>
        <w:outlineLvl w:val="0"/>
        <w:rPr>
          <w:rFonts w:ascii="Arial" w:eastAsia="MS Gothic" w:hAnsi="Arial" w:cs="Arial"/>
          <w:bCs/>
          <w:sz w:val="20"/>
          <w:szCs w:val="20"/>
          <w:lang w:val="en-US"/>
        </w:rPr>
      </w:pPr>
      <w:r w:rsidRPr="00935AAF">
        <w:rPr>
          <w:rFonts w:ascii="Arial" w:eastAsia="MS Gothic" w:hAnsi="Arial" w:cs="Arial"/>
          <w:b/>
          <w:bCs/>
          <w:sz w:val="20"/>
          <w:szCs w:val="20"/>
          <w:lang w:val="en-US"/>
        </w:rPr>
        <w:lastRenderedPageBreak/>
        <w:t xml:space="preserve">Table S2 </w:t>
      </w:r>
      <w:r w:rsidRPr="00935AAF">
        <w:rPr>
          <w:rFonts w:ascii="Arial" w:eastAsia="MS Gothic" w:hAnsi="Arial" w:cs="Arial"/>
          <w:bCs/>
          <w:sz w:val="20"/>
          <w:szCs w:val="20"/>
          <w:lang w:val="en-US"/>
        </w:rPr>
        <w:t>Demographic and clinical characteristics at the index date in patients receiving MITT</w:t>
      </w:r>
    </w:p>
    <w:tbl>
      <w:tblPr>
        <w:tblStyle w:val="TableGrid"/>
        <w:tblpPr w:leftFromText="180" w:rightFromText="180" w:vertAnchor="text" w:horzAnchor="margin" w:tblpY="10"/>
        <w:tblOverlap w:val="never"/>
        <w:tblW w:w="13750" w:type="dxa"/>
        <w:tblLook w:val="04A0" w:firstRow="1" w:lastRow="0" w:firstColumn="1" w:lastColumn="0" w:noHBand="0" w:noVBand="1"/>
      </w:tblPr>
      <w:tblGrid>
        <w:gridCol w:w="3402"/>
        <w:gridCol w:w="2069"/>
        <w:gridCol w:w="2070"/>
        <w:gridCol w:w="2069"/>
        <w:gridCol w:w="2070"/>
        <w:gridCol w:w="2070"/>
      </w:tblGrid>
      <w:tr w:rsidR="001F6A38" w:rsidRPr="00597852" w14:paraId="1E6F1260" w14:textId="77777777" w:rsidTr="00597852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519BA93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34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B734B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Patients receiving MITT</w:t>
            </w:r>
          </w:p>
        </w:tc>
      </w:tr>
      <w:tr w:rsidR="001F6A38" w:rsidRPr="00597852" w14:paraId="33ABEAFC" w14:textId="77777777" w:rsidTr="0059785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0ACF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758A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Total (N=10,896)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0632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&lt;150 cells/µL (N=3199)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94F6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≥150–&lt;300 cells/µL (N=3418)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8C42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≥300–&lt;500 cells/µL (N=2503)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A689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≥500 cells/µL (N=1776)</w:t>
            </w:r>
          </w:p>
        </w:tc>
      </w:tr>
      <w:tr w:rsidR="001F6A38" w:rsidRPr="00597852" w14:paraId="522D7573" w14:textId="77777777" w:rsidTr="00597852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56295F1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Age at index, years, mean (SD)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center"/>
          </w:tcPr>
          <w:p w14:paraId="121F3AE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70.1 (10.6)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5324AA6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69.9 (10.6)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center"/>
          </w:tcPr>
          <w:p w14:paraId="40A936F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70.0 (10.5)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36AF430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70.1 (10.6)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7CAB497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70.7 (10.5)</w:t>
            </w:r>
          </w:p>
        </w:tc>
      </w:tr>
      <w:tr w:rsidR="001F6A38" w:rsidRPr="00597852" w14:paraId="541A54A9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FFB14B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Female, %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4F0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56.4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B60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61.1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24D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56.9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3570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53.9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77F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50.2</w:t>
            </w:r>
          </w:p>
        </w:tc>
      </w:tr>
      <w:tr w:rsidR="001F6A38" w:rsidRPr="00597852" w14:paraId="1FC4FBCA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2EC2FF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Insurance, %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5DD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091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D1D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872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0A6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1F6A38" w:rsidRPr="00597852" w14:paraId="0A2249C3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FC31F9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Private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016032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62.6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7831BD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63.0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BD02E4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63.5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C8BFDC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61.0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192DC8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62.6</w:t>
            </w:r>
          </w:p>
        </w:tc>
      </w:tr>
      <w:tr w:rsidR="001F6A38" w:rsidRPr="00597852" w14:paraId="0573DDA0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746BD8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Medicare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D5A2B8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75.2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745207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73.9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1FADB6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74.7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FBEFEE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76.6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4544F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76.4</w:t>
            </w:r>
          </w:p>
        </w:tc>
      </w:tr>
      <w:tr w:rsidR="001F6A38" w:rsidRPr="00597852" w14:paraId="3C7DC955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09FC72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Medicaid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F26798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21.2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211214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21.5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635CC6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21.4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8F0373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20.6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282BC4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21.5</w:t>
            </w:r>
          </w:p>
        </w:tc>
      </w:tr>
      <w:tr w:rsidR="001F6A38" w:rsidRPr="00597852" w14:paraId="383C0201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A19E0A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Self-pay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338CF8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18.7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57D7AF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19.5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9E2BC7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19.1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658C5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16.9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4C6587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18.9</w:t>
            </w:r>
          </w:p>
        </w:tc>
      </w:tr>
      <w:tr w:rsidR="001F6A38" w:rsidRPr="00597852" w14:paraId="1361F3E3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25AC1D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Other public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D48C6E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02606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239583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CFAE9B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0E4C4E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6.9</w:t>
            </w:r>
          </w:p>
        </w:tc>
      </w:tr>
      <w:tr w:rsidR="001F6A38" w:rsidRPr="00597852" w14:paraId="49DA412E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D60097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FE1726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EDBEB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9B962C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0EEA9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49B60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3.1</w:t>
            </w:r>
          </w:p>
        </w:tc>
      </w:tr>
      <w:tr w:rsidR="001F6A38" w:rsidRPr="00597852" w14:paraId="5FA33092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03528F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B83116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14.2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3FE4B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15.2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435951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13.5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A5B37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14.3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DE32F8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13.3</w:t>
            </w:r>
          </w:p>
        </w:tc>
      </w:tr>
      <w:tr w:rsidR="001F6A38" w:rsidRPr="00597852" w14:paraId="31C14BC4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8B4BC6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BMI,</w:t>
            </w:r>
            <w:proofErr w:type="gramEnd"/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mean (SD)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4E6B2A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28.7 (8.7)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5FEA8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27.6 (8.4)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7B5630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29.2 (8.7)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4A42A6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29.5 (8.9)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FA9F6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28.8 (8.5)</w:t>
            </w:r>
          </w:p>
        </w:tc>
      </w:tr>
      <w:tr w:rsidR="001F6A38" w:rsidRPr="00597852" w14:paraId="4A1405DE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847DE3" w14:textId="77777777" w:rsidR="001F6A38" w:rsidRPr="00935AAF" w:rsidRDefault="001F6A38" w:rsidP="005B2BC8">
            <w:pPr>
              <w:keepNext/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Smoking status, %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8DE4594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2202FFD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7DD9BB5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AB3B54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100EC8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1F6A38" w:rsidRPr="00597852" w14:paraId="247AB985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31EF2F" w14:textId="77777777" w:rsidR="001F6A38" w:rsidRPr="00935AAF" w:rsidRDefault="001F6A38" w:rsidP="005B2BC8">
            <w:pPr>
              <w:keepNext/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FB1E099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15.6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602379B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16.5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E1C100B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15.2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5A074ED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15.8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7B2768C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14.7</w:t>
            </w:r>
          </w:p>
        </w:tc>
      </w:tr>
      <w:tr w:rsidR="001F6A38" w:rsidRPr="00597852" w14:paraId="68388B17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2BE2EF" w14:textId="77777777" w:rsidR="001F6A38" w:rsidRPr="00935AAF" w:rsidRDefault="001F6A38" w:rsidP="005B2BC8">
            <w:pPr>
              <w:keepNext/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lastRenderedPageBreak/>
              <w:t>Ex-smoker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5ADA678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31.0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D8138C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30.4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972C66A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29.4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332A134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33.1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5F39C9" w14:textId="77777777" w:rsidR="001F6A38" w:rsidRPr="00935AAF" w:rsidRDefault="001F6A38" w:rsidP="005B2BC8">
            <w:pPr>
              <w:keepNext/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32.1</w:t>
            </w:r>
          </w:p>
        </w:tc>
      </w:tr>
      <w:tr w:rsidR="001F6A38" w:rsidRPr="00597852" w14:paraId="01D3E823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3CDE99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Non-smoker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6348D5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91F22D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A87681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7B1351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44E7B0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7.7</w:t>
            </w:r>
          </w:p>
        </w:tc>
      </w:tr>
      <w:tr w:rsidR="001F6A38" w:rsidRPr="00597852" w14:paraId="6A0C8BE4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7D3998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Passive smoker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4173C8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0.2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A79323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0.1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6889D3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0.1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204C92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0.2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CA6E78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0.3</w:t>
            </w:r>
          </w:p>
        </w:tc>
      </w:tr>
      <w:tr w:rsidR="001F6A38" w:rsidRPr="00597852" w14:paraId="56D1FB38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E5F9AF7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4C9009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47.0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27D13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47.9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891B4D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49.1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D4A7F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44.1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13C067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45.3</w:t>
            </w:r>
          </w:p>
        </w:tc>
      </w:tr>
      <w:tr w:rsidR="001F6A38" w:rsidRPr="00597852" w14:paraId="77B05AFE" w14:textId="77777777" w:rsidTr="00597852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09F7F51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EOS, cells/µL, geometric mean (95% CI)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vAlign w:val="center"/>
          </w:tcPr>
          <w:p w14:paraId="11E41674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213.5 </w:t>
            </w: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br/>
              <w:t>(209.9, 217.2)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center"/>
          </w:tcPr>
          <w:p w14:paraId="763E1350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74.5 </w:t>
            </w: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br/>
              <w:t>(72.7, 76.3)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vAlign w:val="center"/>
          </w:tcPr>
          <w:p w14:paraId="4677E696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206.8 </w:t>
            </w: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br/>
              <w:t>(205.7, 208.0)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center"/>
          </w:tcPr>
          <w:p w14:paraId="00D5F285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357.1 </w:t>
            </w: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br/>
              <w:t>(354.9, 359.2)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center"/>
          </w:tcPr>
          <w:p w14:paraId="2AC58C9E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 xml:space="preserve">733.5 </w:t>
            </w: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br/>
              <w:t>(720.0, 747.2)</w:t>
            </w:r>
          </w:p>
        </w:tc>
      </w:tr>
    </w:tbl>
    <w:p w14:paraId="439FC68F" w14:textId="77777777" w:rsidR="00597852" w:rsidRPr="00935AAF" w:rsidRDefault="00597852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t>Notes</w:t>
      </w:r>
      <w:r w:rsidRPr="00935AAF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proofErr w:type="spellStart"/>
      <w:r w:rsidR="001F6A38" w:rsidRPr="00935AAF">
        <w:rPr>
          <w:rFonts w:ascii="Arial" w:eastAsia="MS Mincho" w:hAnsi="Arial" w:cs="Arial"/>
          <w:sz w:val="20"/>
          <w:szCs w:val="20"/>
          <w:vertAlign w:val="superscript"/>
          <w:lang w:val="en-US"/>
        </w:rPr>
        <w:t>a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>Reported</w:t>
      </w:r>
      <w:proofErr w:type="spellEnd"/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 xml:space="preserve"> data on BMI and smoking status were the most recent records within the study period. </w:t>
      </w:r>
    </w:p>
    <w:p w14:paraId="63913CFB" w14:textId="77777777" w:rsidR="001F6A38" w:rsidRPr="00935AAF" w:rsidRDefault="00597852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935AAF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>BMI, body mass index; CI, confidence interval; EOS, blood eosinophil count; MITT, multiple inhaled triple therapy; SD, standard deviation.</w:t>
      </w:r>
    </w:p>
    <w:p w14:paraId="55DD4BA3" w14:textId="77777777" w:rsidR="00935AAF" w:rsidRPr="00935AAF" w:rsidRDefault="00935AAF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  <w:sectPr w:rsidR="00935AAF" w:rsidRPr="00935AAF" w:rsidSect="0059785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5AB9FFB" w14:textId="77777777" w:rsidR="001F6A38" w:rsidRPr="00935AAF" w:rsidRDefault="001F6A38">
      <w:pPr>
        <w:pageBreakBefore/>
        <w:spacing w:after="240" w:line="480" w:lineRule="auto"/>
        <w:rPr>
          <w:rFonts w:ascii="Arial" w:eastAsia="Calibri" w:hAnsi="Arial" w:cs="Arial"/>
          <w:sz w:val="20"/>
          <w:szCs w:val="20"/>
          <w:lang w:val="en-US"/>
        </w:rPr>
      </w:pPr>
      <w:r w:rsidRPr="00935AAF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 xml:space="preserve">Table S3 </w:t>
      </w:r>
      <w:r w:rsidRPr="00935AAF">
        <w:rPr>
          <w:rFonts w:ascii="Arial" w:eastAsia="Calibri" w:hAnsi="Arial" w:cs="Arial"/>
          <w:sz w:val="20"/>
          <w:szCs w:val="20"/>
          <w:lang w:val="en-US"/>
        </w:rPr>
        <w:t>Comorbidities in the observation period (including the index date) in patients receiving MITT</w:t>
      </w:r>
    </w:p>
    <w:tbl>
      <w:tblPr>
        <w:tblStyle w:val="TableGrid"/>
        <w:tblpPr w:leftFromText="180" w:rightFromText="180" w:vertAnchor="text" w:horzAnchor="margin" w:tblpY="10"/>
        <w:tblOverlap w:val="never"/>
        <w:tblW w:w="13750" w:type="dxa"/>
        <w:tblLook w:val="04A0" w:firstRow="1" w:lastRow="0" w:firstColumn="1" w:lastColumn="0" w:noHBand="0" w:noVBand="1"/>
      </w:tblPr>
      <w:tblGrid>
        <w:gridCol w:w="3402"/>
        <w:gridCol w:w="2069"/>
        <w:gridCol w:w="2070"/>
        <w:gridCol w:w="2069"/>
        <w:gridCol w:w="2070"/>
        <w:gridCol w:w="2070"/>
      </w:tblGrid>
      <w:tr w:rsidR="001F6A38" w:rsidRPr="00597852" w14:paraId="2DF03008" w14:textId="77777777" w:rsidTr="00597852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4252C0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34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16420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Patients receiving MITT</w:t>
            </w:r>
          </w:p>
        </w:tc>
      </w:tr>
      <w:tr w:rsidR="001F6A38" w:rsidRPr="00597852" w14:paraId="35F2DCB4" w14:textId="77777777" w:rsidTr="0059785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F77C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3C59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Total (N=10,896)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0350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&lt;150 cells/µL (N=3199)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035F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≥150–&lt;300 cells/µL (N=3418)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2794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≥300–&lt;500 cells/µL (N=2503)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3760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≥500 cells/µL (N=1776)</w:t>
            </w:r>
          </w:p>
        </w:tc>
      </w:tr>
      <w:tr w:rsidR="001F6A38" w:rsidRPr="00597852" w14:paraId="387B5B1A" w14:textId="77777777" w:rsidTr="00597852"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4109C526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Quan-</w:t>
            </w:r>
            <w:proofErr w:type="spellStart"/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Charlson</w:t>
            </w:r>
            <w:proofErr w:type="spellEnd"/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Comorbidity Index,</w:t>
            </w:r>
            <w:proofErr w:type="gramEnd"/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mean (SD)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center"/>
          </w:tcPr>
          <w:p w14:paraId="2EDD21E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5.17 (3.67)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7469EE8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4.83 (3.58)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center"/>
          </w:tcPr>
          <w:p w14:paraId="1EF1CFC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5.13 (3.62)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3DBCA11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5.32 (3.68)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087CD81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5.67 (3.84)</w:t>
            </w:r>
          </w:p>
        </w:tc>
      </w:tr>
      <w:tr w:rsidR="001F6A38" w:rsidRPr="00597852" w14:paraId="0580F603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BF5F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Comorbidities, %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91E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190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D28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16C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D86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1F6A38" w:rsidRPr="00597852" w14:paraId="15855994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779A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27B36B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81.4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EF20A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78.1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FC3E75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82.1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8F555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82.9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C8D44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83.7</w:t>
            </w:r>
          </w:p>
        </w:tc>
      </w:tr>
      <w:tr w:rsidR="001F6A38" w:rsidRPr="00597852" w14:paraId="4B488A14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40CF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52507F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39.4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8AF3C2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34.3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5A2E76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39.5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94285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DC8E3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44.5</w:t>
            </w:r>
          </w:p>
        </w:tc>
      </w:tr>
      <w:tr w:rsidR="001F6A38" w:rsidRPr="00597852" w14:paraId="197E89A0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00CD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CHF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AB982A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48.2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9D613C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45.9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4C10A8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48.2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CBE1CC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49.3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4631DE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51.1</w:t>
            </w:r>
          </w:p>
        </w:tc>
      </w:tr>
      <w:tr w:rsidR="001F6A38" w:rsidRPr="00597852" w14:paraId="5D4FD7BD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71DA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AMI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90E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16E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A69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6AB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888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9.4</w:t>
            </w:r>
          </w:p>
        </w:tc>
      </w:tr>
      <w:tr w:rsidR="001F6A38" w:rsidRPr="00597852" w14:paraId="401F676D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58CE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TIA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CD4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BD1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FFF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846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85E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4.3</w:t>
            </w:r>
          </w:p>
        </w:tc>
      </w:tr>
      <w:tr w:rsidR="001F6A38" w:rsidRPr="00597852" w14:paraId="43130CE5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9426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Stroke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97322B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13.0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068C3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33DB80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1C9B82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14.1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2AAF20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15.4</w:t>
            </w:r>
          </w:p>
        </w:tc>
      </w:tr>
      <w:tr w:rsidR="001F6A38" w:rsidRPr="00597852" w14:paraId="601D2F11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82AF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8BC571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37.5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C657C7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35.3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C65F2F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36.2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E27F8D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38.8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E81AED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42.1</w:t>
            </w:r>
          </w:p>
        </w:tc>
      </w:tr>
      <w:tr w:rsidR="001F6A38" w:rsidRPr="00597852" w14:paraId="167FC98D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8B85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Anxiety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F2C602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472B00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41.7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ED71AC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D2A832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41.5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2F75B8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42.8</w:t>
            </w:r>
          </w:p>
        </w:tc>
      </w:tr>
      <w:tr w:rsidR="001F6A38" w:rsidRPr="00597852" w14:paraId="53492A70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3E8FC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6EDDF5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30.6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9D031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29.6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88D3D8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30.2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D7E8DF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31.7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B19AE8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31.7</w:t>
            </w:r>
          </w:p>
        </w:tc>
      </w:tr>
      <w:tr w:rsidR="001F6A38" w:rsidRPr="00597852" w14:paraId="70B5148C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E9EC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Respiratory infections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A33D76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23.7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1DB6DF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22.3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A17B8D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23.5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B1AC47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25.1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CF07B4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24.8</w:t>
            </w:r>
          </w:p>
        </w:tc>
      </w:tr>
      <w:tr w:rsidR="001F6A38" w:rsidRPr="00597852" w14:paraId="1765B982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37F1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Allergic rhinitis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A8906C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5D594E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DBE138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FFFB89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13.4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5992E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12.7</w:t>
            </w:r>
          </w:p>
        </w:tc>
      </w:tr>
      <w:tr w:rsidR="001F6A38" w:rsidRPr="00597852" w14:paraId="30DD3F2F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A60EE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lastRenderedPageBreak/>
              <w:t>Respiratory tract neoplasm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BB566D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376B4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E1A369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ADFFF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42C71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11.5</w:t>
            </w:r>
          </w:p>
        </w:tc>
      </w:tr>
      <w:tr w:rsidR="001F6A38" w:rsidRPr="00597852" w14:paraId="573FE57F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C8E3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Acute sinusitis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BA08C0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927A62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11F05D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2E9A9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EE264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7.5</w:t>
            </w:r>
          </w:p>
        </w:tc>
      </w:tr>
      <w:tr w:rsidR="001F6A38" w:rsidRPr="00597852" w14:paraId="605519AB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41E11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Chronic sinusitis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B123F5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153CF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7D1487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2D6E56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2BCC9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6.7</w:t>
            </w:r>
          </w:p>
        </w:tc>
      </w:tr>
      <w:tr w:rsidR="001F6A38" w:rsidRPr="00597852" w14:paraId="3D6FF555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9A46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GERD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D19518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47.0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58DF8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44.0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F83850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48.4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93084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47.8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AB06DC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48.8</w:t>
            </w:r>
          </w:p>
        </w:tc>
      </w:tr>
      <w:tr w:rsidR="001F6A38" w:rsidRPr="00597852" w14:paraId="4B91444B" w14:textId="77777777" w:rsidTr="0059785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3A4C2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Rheumatoid arthritis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46903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D7D52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6.2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D758D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375FF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5.4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26DF6" w14:textId="77777777" w:rsidR="001F6A38" w:rsidRPr="00935AAF" w:rsidRDefault="001F6A38" w:rsidP="00935A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935AAF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6.0</w:t>
            </w:r>
          </w:p>
        </w:tc>
      </w:tr>
    </w:tbl>
    <w:p w14:paraId="1EF5C77E" w14:textId="77777777" w:rsidR="001F6A38" w:rsidRPr="00935AAF" w:rsidRDefault="00597852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AMI, acute myocardial infarction; CHF, congestive heart failure; EOS, blood eosinophil count; GERD, gastroesophageal reflux disease; MITT, multiple inhaled triple therapy; SD, standard deviation; TIA, transient ischemic attack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>.</w:t>
      </w:r>
    </w:p>
    <w:p w14:paraId="55F2E2DF" w14:textId="77777777" w:rsidR="00935AAF" w:rsidRPr="00935AAF" w:rsidRDefault="00935AAF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  <w:sectPr w:rsidR="00935AAF" w:rsidRPr="00935AAF" w:rsidSect="0059785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1F66465" w14:textId="77777777" w:rsidR="001F6A38" w:rsidRPr="00935AAF" w:rsidRDefault="001F6A38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lastRenderedPageBreak/>
        <w:t>Table S4</w:t>
      </w:r>
      <w:r w:rsidRPr="00935AAF">
        <w:rPr>
          <w:rFonts w:ascii="Arial" w:eastAsia="MS Mincho" w:hAnsi="Arial" w:cs="Arial"/>
          <w:sz w:val="20"/>
          <w:szCs w:val="20"/>
          <w:lang w:val="en-US"/>
        </w:rPr>
        <w:t xml:space="preserve"> COPD-related pharmacy encounters in the observation period in patients with exacerbations while receiving MITT</w:t>
      </w:r>
    </w:p>
    <w:tbl>
      <w:tblPr>
        <w:tblStyle w:val="TableGrid"/>
        <w:tblpPr w:leftFromText="180" w:rightFromText="180" w:vertAnchor="text" w:horzAnchor="margin" w:tblpY="10"/>
        <w:tblOverlap w:val="never"/>
        <w:tblW w:w="13750" w:type="dxa"/>
        <w:tblLook w:val="04A0" w:firstRow="1" w:lastRow="0" w:firstColumn="1" w:lastColumn="0" w:noHBand="0" w:noVBand="1"/>
      </w:tblPr>
      <w:tblGrid>
        <w:gridCol w:w="3402"/>
        <w:gridCol w:w="2069"/>
        <w:gridCol w:w="2070"/>
        <w:gridCol w:w="2069"/>
        <w:gridCol w:w="2070"/>
        <w:gridCol w:w="2070"/>
      </w:tblGrid>
      <w:tr w:rsidR="001F6A38" w:rsidRPr="00597852" w14:paraId="13D494DE" w14:textId="77777777" w:rsidTr="00597852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476594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34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4C93F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Patients receiving MITT</w:t>
            </w:r>
          </w:p>
        </w:tc>
      </w:tr>
      <w:tr w:rsidR="001F6A38" w:rsidRPr="00597852" w14:paraId="3F908E5C" w14:textId="77777777" w:rsidTr="0059785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FB5F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533E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Total (N=10,896)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4F6F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&lt;150 cells/µL (N=3199)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3379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≥150–&lt;300 cells/µL (N=3418)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8C8B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≥300–&lt;500 cells/µL (N=2503)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8F01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EOS </w:t>
            </w: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br/>
              <w:t>≥500 cells/µL (N=1776)</w:t>
            </w:r>
          </w:p>
        </w:tc>
      </w:tr>
      <w:tr w:rsidR="001F6A38" w:rsidRPr="00597852" w14:paraId="4F61B16B" w14:textId="77777777" w:rsidTr="00597852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7B222A2" w14:textId="77777777" w:rsidR="001F6A38" w:rsidRPr="00935AAF" w:rsidRDefault="001F6A38" w:rsidP="00935AAF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Drug class, %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center"/>
          </w:tcPr>
          <w:p w14:paraId="77E7781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05F60E8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center"/>
          </w:tcPr>
          <w:p w14:paraId="4B9714B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7E03D1D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vAlign w:val="center"/>
          </w:tcPr>
          <w:p w14:paraId="7395A82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1F6A38" w:rsidRPr="00597852" w14:paraId="308B3DD0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E04570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SABA-SAMA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C54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79.1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551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79.2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34F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77.2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754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79.3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935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82.3</w:t>
            </w:r>
          </w:p>
        </w:tc>
      </w:tr>
      <w:tr w:rsidR="001F6A38" w:rsidRPr="00597852" w14:paraId="54236D12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CF2509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SAMA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DCCA74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37.6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39526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37.7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51B724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36.1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8FB78A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37.3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250E30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40.7</w:t>
            </w:r>
          </w:p>
        </w:tc>
      </w:tr>
      <w:tr w:rsidR="001F6A38" w:rsidRPr="00597852" w14:paraId="713B36FC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1C3556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SABA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B37105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95.1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A7B9DD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94.8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362598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95.0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F12756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22DC71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95.9</w:t>
            </w:r>
          </w:p>
        </w:tc>
      </w:tr>
      <w:tr w:rsidR="001F6A38" w:rsidRPr="00597852" w14:paraId="3F41D776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B950E5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Antibiotics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B6111A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85.5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5EFBAF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84.9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8E47AA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83.9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42729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85.8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032285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89.0</w:t>
            </w:r>
          </w:p>
        </w:tc>
      </w:tr>
      <w:tr w:rsidR="001F6A38" w:rsidRPr="00597852" w14:paraId="6E9C18A0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F3A581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Any OCS use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D21255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92.4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BA1A45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92.2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32B5B01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91.3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4EF95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92.9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DBFB55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93.7</w:t>
            </w:r>
          </w:p>
        </w:tc>
      </w:tr>
      <w:tr w:rsidR="001F6A38" w:rsidRPr="00597852" w14:paraId="6BAE90E0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69AC7B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ICS/LABA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20ADC59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B4314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95.4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CD43144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372AC7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94.6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4EEB8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93.9</w:t>
            </w:r>
          </w:p>
        </w:tc>
      </w:tr>
      <w:tr w:rsidR="001F6A38" w:rsidRPr="00597852" w14:paraId="691B1917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F8E4BA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LABA/LAMA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16B771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2C42D5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B0CD5E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76AA3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16D4C7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5.4</w:t>
            </w:r>
          </w:p>
        </w:tc>
      </w:tr>
      <w:tr w:rsidR="001F6A38" w:rsidRPr="00597852" w14:paraId="3E80582C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9E7978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LABA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DA6E2F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5CCBB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0FFB346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8D5A1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11.7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5C555FB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12.2</w:t>
            </w:r>
          </w:p>
        </w:tc>
      </w:tr>
      <w:tr w:rsidR="001F6A38" w:rsidRPr="00597852" w14:paraId="24C099BF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C36F97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LAMA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09CEB5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EFE442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B88445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B2605F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7280125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98.0</w:t>
            </w:r>
          </w:p>
        </w:tc>
      </w:tr>
      <w:tr w:rsidR="001F6A38" w:rsidRPr="00597852" w14:paraId="6593E5E9" w14:textId="77777777" w:rsidTr="0059785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BD6FBCC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PDE4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186788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ECBC950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AF6C0DA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8.5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7514D47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50E6DB8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9.7</w:t>
            </w:r>
          </w:p>
        </w:tc>
      </w:tr>
      <w:tr w:rsidR="001F6A38" w:rsidRPr="00597852" w14:paraId="700015E2" w14:textId="77777777" w:rsidTr="0059785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81314" w14:textId="77777777" w:rsidR="001F6A38" w:rsidRPr="00935AAF" w:rsidRDefault="001F6A38" w:rsidP="00935AAF">
            <w:pPr>
              <w:spacing w:line="480" w:lineRule="auto"/>
              <w:ind w:left="174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Theophylline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0D4A2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58.0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A3A1E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57.8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486FD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56.4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B5593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57.2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ED50C" w14:textId="77777777" w:rsidR="001F6A38" w:rsidRPr="00935AAF" w:rsidRDefault="001F6A38" w:rsidP="00935AAF">
            <w:pPr>
              <w:spacing w:line="48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sz w:val="20"/>
                <w:szCs w:val="20"/>
                <w:lang w:val="en-US"/>
              </w:rPr>
              <w:t>62.9</w:t>
            </w:r>
          </w:p>
        </w:tc>
      </w:tr>
    </w:tbl>
    <w:p w14:paraId="4E5467ED" w14:textId="77777777" w:rsidR="001F6A38" w:rsidRPr="00935AAF" w:rsidRDefault="00597852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lastRenderedPageBreak/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EOS, blood eosinophil count; ICS, inhaled corticosteroid; LABA, long-acting β</w:t>
      </w:r>
      <w:r w:rsidR="001F6A38" w:rsidRPr="00597852">
        <w:rPr>
          <w:rFonts w:ascii="Arial" w:eastAsia="MS Mincho" w:hAnsi="Arial" w:cs="Arial"/>
          <w:sz w:val="20"/>
          <w:szCs w:val="20"/>
          <w:vertAlign w:val="subscript"/>
          <w:lang w:val="en-US"/>
        </w:rPr>
        <w:t>2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-agonist; LAMA, short-acting muscarinic-antagonist; MITT, multiple inhaled triple therapy; OCS, oral corticosteroid; PDE4, phosphodiesterase 4; SABA, short-acting β</w:t>
      </w:r>
      <w:r w:rsidR="001F6A38" w:rsidRPr="00597852">
        <w:rPr>
          <w:rFonts w:ascii="Arial" w:eastAsia="MS Mincho" w:hAnsi="Arial" w:cs="Arial"/>
          <w:sz w:val="20"/>
          <w:szCs w:val="20"/>
          <w:vertAlign w:val="subscript"/>
          <w:lang w:val="en-US"/>
        </w:rPr>
        <w:t>2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-agonist; SAMA, short-acting muscarinic-antagonist.   </w:t>
      </w:r>
    </w:p>
    <w:p w14:paraId="1723CD6F" w14:textId="77777777" w:rsidR="001F6A38" w:rsidRPr="00935AAF" w:rsidRDefault="001F6A38">
      <w:pPr>
        <w:spacing w:before="60" w:after="6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sz w:val="20"/>
          <w:szCs w:val="20"/>
          <w:lang w:val="en-US"/>
        </w:rPr>
        <w:br w:type="page"/>
      </w:r>
    </w:p>
    <w:p w14:paraId="538CE919" w14:textId="77777777" w:rsidR="00935AAF" w:rsidRPr="00935AAF" w:rsidRDefault="00935AAF">
      <w:pPr>
        <w:pageBreakBefore/>
        <w:spacing w:after="240" w:line="480" w:lineRule="auto"/>
        <w:rPr>
          <w:rFonts w:ascii="Arial" w:eastAsia="Calibri" w:hAnsi="Arial" w:cs="Arial"/>
          <w:sz w:val="20"/>
          <w:szCs w:val="20"/>
          <w:lang w:val="en-US"/>
        </w:rPr>
        <w:sectPr w:rsidR="00935AAF" w:rsidRPr="00935AAF" w:rsidSect="0059785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FD752C0" w14:textId="77777777" w:rsidR="001F6A38" w:rsidRPr="00935AAF" w:rsidRDefault="001F6A38">
      <w:pPr>
        <w:pageBreakBefore/>
        <w:spacing w:after="240" w:line="480" w:lineRule="auto"/>
        <w:rPr>
          <w:rFonts w:ascii="Arial" w:eastAsia="Calibri" w:hAnsi="Arial" w:cs="Arial"/>
          <w:sz w:val="20"/>
          <w:szCs w:val="20"/>
          <w:lang w:val="en-US"/>
        </w:rPr>
      </w:pPr>
      <w:r w:rsidRPr="00935AAF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 xml:space="preserve">Table S5 </w:t>
      </w:r>
      <w:r w:rsidRPr="00935AAF">
        <w:rPr>
          <w:rFonts w:ascii="Arial" w:eastAsia="Calibri" w:hAnsi="Arial" w:cs="Arial"/>
          <w:sz w:val="20"/>
          <w:szCs w:val="20"/>
          <w:lang w:val="en-US"/>
        </w:rPr>
        <w:t xml:space="preserve">Pairwise p-values for EOS category comparisons for mean numbers of moderate and severe exacerbations, mean uses of COPD-related and all-cause HCRU in patients receiving MITT </w:t>
      </w:r>
    </w:p>
    <w:tbl>
      <w:tblPr>
        <w:tblW w:w="90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2"/>
        <w:gridCol w:w="1156"/>
        <w:gridCol w:w="1157"/>
        <w:gridCol w:w="1157"/>
        <w:gridCol w:w="1156"/>
        <w:gridCol w:w="1157"/>
        <w:gridCol w:w="1157"/>
      </w:tblGrid>
      <w:tr w:rsidR="001F6A38" w:rsidRPr="00597852" w14:paraId="609561A4" w14:textId="77777777" w:rsidTr="00597852">
        <w:trPr>
          <w:trHeight w:val="635"/>
        </w:trPr>
        <w:tc>
          <w:tcPr>
            <w:tcW w:w="2122" w:type="dxa"/>
            <w:vMerge w:val="restart"/>
            <w:tcBorders>
              <w:top w:val="single" w:sz="8" w:space="0" w:color="635A54"/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8E7474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1664C7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&lt;150 vs ≥150−&lt;300 cells/µL</w:t>
            </w: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24E995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&lt;150 vs ≥300−&lt;500 cells/µL</w:t>
            </w: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21B0F2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&lt;150 vs ≥500 cells/µL</w:t>
            </w:r>
          </w:p>
        </w:tc>
        <w:tc>
          <w:tcPr>
            <w:tcW w:w="1156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8E407B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≥150−&lt;300 vs ≥300−&lt;500 cells/µL</w:t>
            </w: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4C7F3B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≥150−&lt;300 vs ≥500 cells/µL</w:t>
            </w: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B9DE63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≥300−&lt;500 vs ≥500 cells/µL</w:t>
            </w:r>
          </w:p>
        </w:tc>
      </w:tr>
      <w:tr w:rsidR="001F6A38" w:rsidRPr="00597852" w14:paraId="7C4F5F08" w14:textId="77777777" w:rsidTr="00597852">
        <w:trPr>
          <w:trHeight w:val="635"/>
        </w:trPr>
        <w:tc>
          <w:tcPr>
            <w:tcW w:w="2122" w:type="dxa"/>
            <w:vMerge/>
            <w:tcBorders>
              <w:top w:val="single" w:sz="8" w:space="0" w:color="635A54"/>
              <w:bottom w:val="single" w:sz="8" w:space="0" w:color="635A54"/>
            </w:tcBorders>
            <w:shd w:val="clear" w:color="auto" w:fill="auto"/>
            <w:vAlign w:val="center"/>
            <w:hideMark/>
          </w:tcPr>
          <w:p w14:paraId="5DCFBD13" w14:textId="77777777" w:rsidR="001F6A38" w:rsidRPr="00935AAF" w:rsidRDefault="001F6A38">
            <w:pPr>
              <w:spacing w:after="0" w:line="48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955C58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Cs/>
                <w:kern w:val="24"/>
                <w:sz w:val="20"/>
                <w:szCs w:val="20"/>
                <w:lang w:val="en-US" w:eastAsia="en-GB"/>
              </w:rPr>
              <w:t>p-value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0458A9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Cs/>
                <w:kern w:val="24"/>
                <w:sz w:val="20"/>
                <w:szCs w:val="20"/>
                <w:lang w:val="en-US" w:eastAsia="en-GB"/>
              </w:rPr>
              <w:t>p-value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CA2A2E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Cs/>
                <w:kern w:val="24"/>
                <w:sz w:val="20"/>
                <w:szCs w:val="20"/>
                <w:lang w:val="en-US" w:eastAsia="en-GB"/>
              </w:rPr>
              <w:t>p-value</w:t>
            </w:r>
          </w:p>
        </w:tc>
        <w:tc>
          <w:tcPr>
            <w:tcW w:w="1156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C0F7EF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Cs/>
                <w:kern w:val="24"/>
                <w:sz w:val="20"/>
                <w:szCs w:val="20"/>
                <w:lang w:val="en-US" w:eastAsia="en-GB"/>
              </w:rPr>
              <w:t>p-value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F461C5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Cs/>
                <w:kern w:val="24"/>
                <w:sz w:val="20"/>
                <w:szCs w:val="20"/>
                <w:lang w:val="en-US" w:eastAsia="en-GB"/>
              </w:rPr>
              <w:t>p-value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578328" w14:textId="77777777" w:rsidR="001F6A38" w:rsidRPr="00935AAF" w:rsidRDefault="001F6A38">
            <w:pPr>
              <w:spacing w:after="0" w:line="48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Cs/>
                <w:kern w:val="24"/>
                <w:sz w:val="20"/>
                <w:szCs w:val="20"/>
                <w:lang w:val="en-US" w:eastAsia="en-GB"/>
              </w:rPr>
              <w:t>p-value</w:t>
            </w:r>
          </w:p>
        </w:tc>
      </w:tr>
      <w:tr w:rsidR="001F6A38" w:rsidRPr="00597852" w14:paraId="1BE6271E" w14:textId="77777777" w:rsidTr="00597852">
        <w:trPr>
          <w:trHeight w:val="439"/>
        </w:trPr>
        <w:tc>
          <w:tcPr>
            <w:tcW w:w="2122" w:type="dxa"/>
            <w:tcBorders>
              <w:top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BFDBD61" w14:textId="77777777" w:rsidR="001F6A38" w:rsidRPr="00935AAF" w:rsidRDefault="001F6A38">
            <w:pPr>
              <w:spacing w:after="0" w:line="480" w:lineRule="auto"/>
              <w:textAlignment w:val="top"/>
              <w:rPr>
                <w:rFonts w:ascii="Arial" w:eastAsia="MS Mincho" w:hAnsi="Arial" w:cs="Arial"/>
                <w:b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color w:val="000000"/>
                <w:kern w:val="24"/>
                <w:sz w:val="20"/>
                <w:szCs w:val="20"/>
                <w:lang w:val="en-US" w:eastAsia="en-GB"/>
              </w:rPr>
              <w:t>Exacerbations</w:t>
            </w:r>
          </w:p>
        </w:tc>
        <w:tc>
          <w:tcPr>
            <w:tcW w:w="1156" w:type="dxa"/>
            <w:tcBorders>
              <w:top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6F54D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5441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60DD0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156" w:type="dxa"/>
            <w:tcBorders>
              <w:top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DA59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176D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157" w:type="dxa"/>
            <w:tcBorders>
              <w:top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9600A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1F6A38" w:rsidRPr="00597852" w14:paraId="6EA9C034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776850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 xml:space="preserve">Moderate 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AAAA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0.0390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214A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0.0003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CC27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6DDD1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87942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CD1D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&lt;0.0001</w:t>
            </w:r>
          </w:p>
        </w:tc>
      </w:tr>
      <w:tr w:rsidR="001F6A38" w:rsidRPr="00597852" w14:paraId="1B82F35F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3F6FAC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 xml:space="preserve">Severe 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BD8C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0.0029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F69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0.1494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97E4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0.0202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9886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0.5312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E3D00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0.8003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6E745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0.6888</w:t>
            </w:r>
          </w:p>
        </w:tc>
      </w:tr>
      <w:tr w:rsidR="001F6A38" w:rsidRPr="00597852" w14:paraId="0AA9F72F" w14:textId="77777777" w:rsidTr="00597852">
        <w:trPr>
          <w:trHeight w:val="439"/>
        </w:trPr>
        <w:tc>
          <w:tcPr>
            <w:tcW w:w="9062" w:type="dxa"/>
            <w:gridSpan w:val="7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9BF4AEC" w14:textId="77777777" w:rsidR="001F6A38" w:rsidRPr="00935AAF" w:rsidRDefault="001F6A38">
            <w:pPr>
              <w:spacing w:after="0" w:line="48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b/>
                <w:color w:val="000000"/>
                <w:kern w:val="24"/>
                <w:sz w:val="20"/>
                <w:szCs w:val="20"/>
                <w:lang w:val="en-US" w:eastAsia="en-GB"/>
              </w:rPr>
              <w:t>COPD-related HCRU</w:t>
            </w:r>
          </w:p>
        </w:tc>
      </w:tr>
      <w:tr w:rsidR="001F6A38" w:rsidRPr="00597852" w14:paraId="2B23DCAC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7C8970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Inpatient admission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4C7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0.0049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C666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0.9384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B2E5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0.7657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DA00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0.0197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170B5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0.0003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D97C2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0.8688</w:t>
            </w:r>
          </w:p>
        </w:tc>
      </w:tr>
      <w:tr w:rsidR="001F6A38" w:rsidRPr="00597852" w14:paraId="794C4ABE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9D57B3E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ED visits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5BB50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0.0766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FB1F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62FE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7354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0.0010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23B2E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50923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1</w:t>
            </w:r>
          </w:p>
        </w:tc>
      </w:tr>
      <w:tr w:rsidR="001F6A38" w:rsidRPr="00597852" w14:paraId="3EC51E89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EDC62B7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Outpatient office visits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04E2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0.8478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C3C6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0.3079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6F1C6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FA0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0.329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64BE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B3AA2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1F6A38" w:rsidRPr="00597852" w14:paraId="3FC08620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B3144C3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Other outpatient office visits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7C243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0.5895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43A83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0.4387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99F2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910A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0.2084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E1F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9409D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0.0001</w:t>
            </w:r>
          </w:p>
        </w:tc>
      </w:tr>
      <w:tr w:rsidR="001F6A38" w:rsidRPr="00597852" w14:paraId="1086E55E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7E65137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Pharmacy prescriptions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691C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0.1896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38797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0.0414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6ED7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16C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0.0015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8C70E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93A1B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1F6A38" w:rsidRPr="00597852" w14:paraId="5C5F9EE3" w14:textId="77777777" w:rsidTr="00597852">
        <w:trPr>
          <w:trHeight w:val="439"/>
        </w:trPr>
        <w:tc>
          <w:tcPr>
            <w:tcW w:w="9062" w:type="dxa"/>
            <w:gridSpan w:val="7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21A0C89" w14:textId="77777777" w:rsidR="001F6A38" w:rsidRPr="00935AAF" w:rsidRDefault="001F6A38">
            <w:pPr>
              <w:spacing w:after="0" w:line="480" w:lineRule="auto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b/>
                <w:color w:val="000000"/>
                <w:kern w:val="24"/>
                <w:sz w:val="20"/>
                <w:szCs w:val="20"/>
                <w:lang w:val="en-US" w:eastAsia="en-GB"/>
              </w:rPr>
              <w:t>All-cause HCRU</w:t>
            </w:r>
          </w:p>
        </w:tc>
      </w:tr>
      <w:tr w:rsidR="001F6A38" w:rsidRPr="00597852" w14:paraId="25F2492A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B5F505E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Inpatient admission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B012F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0.2497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95C83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0.5437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EF1E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0.3690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3A687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0.1159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860F0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0.0342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B8D24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0.8638</w:t>
            </w:r>
          </w:p>
        </w:tc>
      </w:tr>
      <w:tr w:rsidR="001F6A38" w:rsidRPr="00597852" w14:paraId="0086294F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AED94BE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ED visits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0179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6ACAA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CC4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C77F2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0.0079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24DF6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5C86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0.0057</w:t>
            </w:r>
          </w:p>
        </w:tc>
      </w:tr>
      <w:tr w:rsidR="001F6A38" w:rsidRPr="00597852" w14:paraId="66B29984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5EB61FD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Outpatient office visits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AF9C9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0.1066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D4EE9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93801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665D6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DBD06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979CE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0.0195</w:t>
            </w:r>
          </w:p>
        </w:tc>
      </w:tr>
      <w:tr w:rsidR="001F6A38" w:rsidRPr="00597852" w14:paraId="081C55FB" w14:textId="77777777" w:rsidTr="00597852">
        <w:trPr>
          <w:trHeight w:val="439"/>
        </w:trPr>
        <w:tc>
          <w:tcPr>
            <w:tcW w:w="2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CB85A4E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Other outpatient office visits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5E1D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08170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265C1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65C35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0.1857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0E7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46B7D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  <w:tr w:rsidR="001F6A38" w:rsidRPr="00597852" w14:paraId="41AB3A5A" w14:textId="77777777" w:rsidTr="00597852">
        <w:trPr>
          <w:trHeight w:val="439"/>
        </w:trPr>
        <w:tc>
          <w:tcPr>
            <w:tcW w:w="2122" w:type="dxa"/>
            <w:tcBorders>
              <w:bottom w:val="single" w:sz="8" w:space="0" w:color="635A54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21B412B" w14:textId="77777777" w:rsidR="001F6A38" w:rsidRPr="00935AAF" w:rsidRDefault="001F6A38">
            <w:pPr>
              <w:spacing w:after="0" w:line="480" w:lineRule="auto"/>
              <w:ind w:left="264"/>
              <w:textAlignment w:val="top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 w:eastAsia="en-GB"/>
              </w:rPr>
              <w:t>Pharmacy prescriptions</w:t>
            </w:r>
          </w:p>
        </w:tc>
        <w:tc>
          <w:tcPr>
            <w:tcW w:w="1156" w:type="dxa"/>
            <w:tcBorders>
              <w:bottom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F74C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EEEEE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115DF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6" w:type="dxa"/>
            <w:tcBorders>
              <w:bottom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0FE0D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F2418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  <w:tc>
          <w:tcPr>
            <w:tcW w:w="1157" w:type="dxa"/>
            <w:tcBorders>
              <w:bottom w:val="single" w:sz="8" w:space="0" w:color="635A54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891B9" w14:textId="77777777" w:rsidR="001F6A38" w:rsidRPr="00935AAF" w:rsidRDefault="001F6A38">
            <w:pPr>
              <w:spacing w:after="0" w:line="480" w:lineRule="auto"/>
              <w:jc w:val="center"/>
              <w:textAlignment w:val="bottom"/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</w:pPr>
            <w:r w:rsidRPr="00935AAF">
              <w:rPr>
                <w:rFonts w:ascii="Arial" w:eastAsia="MS Mincho" w:hAnsi="Arial" w:cs="Arial"/>
                <w:color w:val="000000"/>
                <w:kern w:val="24"/>
                <w:sz w:val="20"/>
                <w:szCs w:val="20"/>
                <w:lang w:val="en-US"/>
              </w:rPr>
              <w:t>&lt;0.0001</w:t>
            </w:r>
          </w:p>
        </w:tc>
      </w:tr>
    </w:tbl>
    <w:p w14:paraId="60EA67DC" w14:textId="77777777" w:rsidR="001F6A38" w:rsidRPr="00935AAF" w:rsidRDefault="00597852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sz w:val="20"/>
          <w:szCs w:val="20"/>
          <w:lang w:val="en-US"/>
        </w:rPr>
        <w:lastRenderedPageBreak/>
        <w:t>Abbreviations</w:t>
      </w:r>
      <w:r w:rsidRPr="00935AAF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>COPD, chronic obstructive pulmonary disease; ED, emergency department; EOS, blood eosinophil count; HCRU, healthcare resource utilization;</w:t>
      </w:r>
      <w:r w:rsidR="001F6A38" w:rsidRPr="00935AAF">
        <w:rPr>
          <w:rFonts w:ascii="Arial" w:eastAsia="MS Mincho" w:hAnsi="Arial" w:cs="Arial"/>
          <w:sz w:val="20"/>
          <w:szCs w:val="20"/>
        </w:rPr>
        <w:t xml:space="preserve"> 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>MITT, multiple inhaled triple therapy.</w:t>
      </w:r>
    </w:p>
    <w:p w14:paraId="1B9F429C" w14:textId="77777777" w:rsidR="001F6A38" w:rsidRPr="00935AAF" w:rsidRDefault="001F6A38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</w:p>
    <w:p w14:paraId="47CB0C6D" w14:textId="77777777" w:rsidR="001F6A38" w:rsidRPr="00935AAF" w:rsidRDefault="001F6A38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</w:p>
    <w:p w14:paraId="53A87C73" w14:textId="77777777" w:rsidR="001F6A38" w:rsidRPr="00935AAF" w:rsidRDefault="001F6A38">
      <w:pPr>
        <w:spacing w:before="60" w:after="60" w:line="480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sz w:val="20"/>
          <w:szCs w:val="20"/>
          <w:lang w:val="en-US"/>
        </w:rPr>
        <w:br w:type="page"/>
      </w:r>
    </w:p>
    <w:p w14:paraId="01BB333B" w14:textId="77777777" w:rsidR="001F6A38" w:rsidRPr="00935AAF" w:rsidRDefault="001F6A38">
      <w:pPr>
        <w:pageBreakBefore/>
        <w:spacing w:after="240" w:line="480" w:lineRule="auto"/>
        <w:rPr>
          <w:rFonts w:ascii="Arial" w:eastAsia="Calibri" w:hAnsi="Arial" w:cs="Arial"/>
          <w:sz w:val="20"/>
          <w:szCs w:val="20"/>
          <w:lang w:val="en-US"/>
        </w:rPr>
      </w:pPr>
      <w:r w:rsidRPr="00935AAF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 xml:space="preserve">Figure S1 </w:t>
      </w:r>
      <w:r w:rsidRPr="00935AAF">
        <w:rPr>
          <w:rFonts w:ascii="Arial" w:eastAsia="Calibri" w:hAnsi="Arial" w:cs="Arial"/>
          <w:sz w:val="20"/>
          <w:szCs w:val="20"/>
          <w:lang w:val="en-US"/>
        </w:rPr>
        <w:t>All-cause HCRU visits (A) and pharmacy prescriptions (B) during the observation period in patients with exacerbations by EOS and MITT treatment status</w:t>
      </w:r>
      <w:r w:rsidR="00597852" w:rsidRPr="00935AAF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05A8FDAF" w14:textId="77777777" w:rsidR="001F6A38" w:rsidRPr="00935AAF" w:rsidRDefault="001F6A38">
      <w:pPr>
        <w:spacing w:after="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b/>
          <w:i/>
          <w:sz w:val="20"/>
          <w:szCs w:val="20"/>
          <w:lang w:val="en-US"/>
        </w:rPr>
        <w:t xml:space="preserve">A. </w:t>
      </w:r>
    </w:p>
    <w:p w14:paraId="3F18CC3D" w14:textId="77777777" w:rsidR="001F6A38" w:rsidRPr="00CE4097" w:rsidRDefault="001F6A38">
      <w:pPr>
        <w:spacing w:after="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i/>
          <w:noProof/>
          <w:sz w:val="20"/>
          <w:szCs w:val="20"/>
          <w:lang w:val="en-US"/>
        </w:rPr>
        <w:drawing>
          <wp:inline distT="0" distB="0" distL="0" distR="0" wp14:anchorId="42F299B7" wp14:editId="6FFFE907">
            <wp:extent cx="5731510" cy="2376170"/>
            <wp:effectExtent l="0" t="0" r="2540" b="5080"/>
            <wp:docPr id="15" name="Picture 15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0EEB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0A55" w14:textId="77777777" w:rsidR="001F6A38" w:rsidRPr="00CE4097" w:rsidRDefault="001F6A38">
      <w:pPr>
        <w:spacing w:after="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i/>
          <w:sz w:val="20"/>
          <w:szCs w:val="20"/>
          <w:lang w:val="en-US"/>
        </w:rPr>
        <w:t xml:space="preserve">B. </w:t>
      </w:r>
    </w:p>
    <w:p w14:paraId="407922B0" w14:textId="77777777" w:rsidR="001F6A38" w:rsidRPr="00CE4097" w:rsidRDefault="001F6A38">
      <w:pPr>
        <w:spacing w:after="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i/>
          <w:noProof/>
          <w:sz w:val="20"/>
          <w:szCs w:val="20"/>
          <w:lang w:val="en-US"/>
        </w:rPr>
        <w:drawing>
          <wp:inline distT="0" distB="0" distL="0" distR="0" wp14:anchorId="479BB2CB" wp14:editId="3B26FC53">
            <wp:extent cx="5731510" cy="1833245"/>
            <wp:effectExtent l="0" t="0" r="2540" b="0"/>
            <wp:docPr id="17" name="Picture 17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D0328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A28B" w14:textId="77777777" w:rsidR="00597852" w:rsidRPr="00597852" w:rsidRDefault="00597852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sz w:val="20"/>
          <w:szCs w:val="20"/>
          <w:lang w:val="en-US"/>
        </w:rPr>
        <w:t>Notes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Error bars represent standard deviation. </w:t>
      </w:r>
    </w:p>
    <w:p w14:paraId="384C517D" w14:textId="77777777" w:rsidR="001F6A38" w:rsidRPr="00CE4097" w:rsidRDefault="00597852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COPD, chronic obstructive pulmonary disease; EOS, 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 xml:space="preserve">blood eosinophil count;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HCRU, healthcare resource utilization; MITT, multiple inhaled triple therapy. </w:t>
      </w:r>
    </w:p>
    <w:p w14:paraId="6A63EB16" w14:textId="77777777" w:rsidR="008B2598" w:rsidRPr="00597852" w:rsidRDefault="001F6A38" w:rsidP="008B2598">
      <w:pPr>
        <w:pageBreakBefore/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CE4097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 xml:space="preserve">Figure S2 </w:t>
      </w:r>
      <w:r w:rsidRPr="00CE4097">
        <w:rPr>
          <w:rFonts w:ascii="Arial" w:eastAsia="Calibri" w:hAnsi="Arial" w:cs="Arial"/>
          <w:sz w:val="20"/>
          <w:szCs w:val="20"/>
          <w:lang w:val="en-US"/>
        </w:rPr>
        <w:t>Numbers of moderate and severe exacerbations according to EOS in patients with exacerbations while receiving MITT during the observation period</w:t>
      </w:r>
      <w:r w:rsidR="00597852" w:rsidRPr="00CE4097">
        <w:rPr>
          <w:rFonts w:ascii="Arial" w:eastAsia="Calibri" w:hAnsi="Arial" w:cs="Arial"/>
          <w:sz w:val="20"/>
          <w:szCs w:val="20"/>
          <w:lang w:val="en-US"/>
        </w:rPr>
        <w:t>.</w:t>
      </w:r>
      <w:r w:rsidR="00D061F3" w:rsidRPr="00D061F3">
        <w:rPr>
          <w:rFonts w:ascii="Arial" w:eastAsia="Calibri" w:hAnsi="Arial" w:cs="Arial"/>
          <w:noProof/>
          <w:sz w:val="20"/>
          <w:szCs w:val="20"/>
          <w:lang w:val="en-US"/>
        </w:rPr>
        <w:t xml:space="preserve"> </w:t>
      </w:r>
    </w:p>
    <w:p w14:paraId="163E892E" w14:textId="2EA41131" w:rsidR="008B2598" w:rsidRPr="00597852" w:rsidRDefault="008B2598" w:rsidP="008B2598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noProof/>
          <w:sz w:val="20"/>
          <w:szCs w:val="20"/>
          <w:lang w:val="en-US"/>
        </w:rPr>
        <w:drawing>
          <wp:inline distT="0" distB="0" distL="0" distR="0" wp14:anchorId="67345E43" wp14:editId="598559BE">
            <wp:extent cx="5731510" cy="2322830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9C7C5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097">
        <w:rPr>
          <w:rFonts w:ascii="Arial" w:eastAsia="MS Mincho" w:hAnsi="Arial" w:cs="Arial"/>
          <w:b/>
          <w:sz w:val="20"/>
          <w:szCs w:val="20"/>
          <w:lang w:val="en-US"/>
        </w:rPr>
        <w:t>Notes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Error bars represent standard deviation. Please see the p-values for the pair-wise comparisons of the blood eosinophil categories for moderate and severe exacerbations in </w:t>
      </w:r>
      <w:r w:rsidRPr="00597852">
        <w:rPr>
          <w:rFonts w:ascii="Arial" w:eastAsia="MS Mincho" w:hAnsi="Arial" w:cs="Arial"/>
          <w:b/>
          <w:sz w:val="20"/>
          <w:szCs w:val="20"/>
          <w:lang w:val="en-US"/>
        </w:rPr>
        <w:t>Supplementary Table 5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>.</w:t>
      </w:r>
    </w:p>
    <w:p w14:paraId="7821698C" w14:textId="77777777" w:rsidR="008B2598" w:rsidRPr="00597852" w:rsidRDefault="008B2598" w:rsidP="008B2598">
      <w:pPr>
        <w:spacing w:after="240" w:line="480" w:lineRule="auto"/>
        <w:rPr>
          <w:rFonts w:ascii="Arial" w:eastAsia="MS Mincho" w:hAnsi="Arial" w:cs="Arial"/>
          <w:i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EOS, </w:t>
      </w:r>
      <w:r w:rsidRPr="00935AAF">
        <w:rPr>
          <w:rFonts w:ascii="Arial" w:eastAsia="MS Mincho" w:hAnsi="Arial" w:cs="Arial"/>
          <w:sz w:val="20"/>
          <w:szCs w:val="20"/>
          <w:lang w:val="en-US"/>
        </w:rPr>
        <w:t xml:space="preserve">blood eosinophil count; 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>MITT, multiple inhaled triple therapy; SD, standard deviation.</w:t>
      </w:r>
    </w:p>
    <w:p w14:paraId="20E6335C" w14:textId="77777777" w:rsidR="001F6A38" w:rsidRPr="00597852" w:rsidRDefault="001F6A38">
      <w:pPr>
        <w:spacing w:before="60" w:after="6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597852">
        <w:rPr>
          <w:rFonts w:ascii="Arial" w:eastAsia="MS Mincho" w:hAnsi="Arial" w:cs="Arial"/>
          <w:b/>
          <w:i/>
          <w:sz w:val="20"/>
          <w:szCs w:val="20"/>
          <w:lang w:val="en-US"/>
        </w:rPr>
        <w:br w:type="page"/>
      </w:r>
    </w:p>
    <w:p w14:paraId="3A4D0DF0" w14:textId="60B46CCD" w:rsidR="001F6A38" w:rsidRPr="00CE4097" w:rsidRDefault="001F6A38">
      <w:pPr>
        <w:pageBreakBefore/>
        <w:spacing w:after="240" w:line="480" w:lineRule="auto"/>
        <w:rPr>
          <w:rFonts w:ascii="Arial" w:eastAsia="Calibri" w:hAnsi="Arial" w:cs="Arial"/>
          <w:sz w:val="20"/>
          <w:szCs w:val="20"/>
          <w:lang w:val="en-US"/>
        </w:rPr>
      </w:pPr>
      <w:r w:rsidRPr="00CE4097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 xml:space="preserve">Figure S3 </w:t>
      </w:r>
      <w:r w:rsidRPr="00CE4097">
        <w:rPr>
          <w:rFonts w:ascii="Arial" w:eastAsia="Calibri" w:hAnsi="Arial" w:cs="Arial"/>
          <w:sz w:val="20"/>
          <w:szCs w:val="20"/>
          <w:lang w:val="en-US"/>
        </w:rPr>
        <w:t>COPD-related HCRU (A) and all-cause HCRU (B) according to EOS in patients with exacerbations while receiving MITT during the observation period</w:t>
      </w:r>
      <w:r w:rsidR="00597852" w:rsidRPr="00CE4097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391C8EE6" w14:textId="1065DAEA" w:rsidR="001F6A38" w:rsidRDefault="001F6A38">
      <w:pPr>
        <w:spacing w:after="24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597852">
        <w:rPr>
          <w:rFonts w:ascii="Arial" w:eastAsia="MS Mincho" w:hAnsi="Arial" w:cs="Arial"/>
          <w:b/>
          <w:i/>
          <w:sz w:val="20"/>
          <w:szCs w:val="20"/>
          <w:lang w:val="en-US"/>
        </w:rPr>
        <w:t xml:space="preserve">A. </w:t>
      </w:r>
    </w:p>
    <w:p w14:paraId="17A2D7D0" w14:textId="341FAA87" w:rsidR="001F6A38" w:rsidRPr="00597852" w:rsidRDefault="005C3F14">
      <w:pPr>
        <w:spacing w:after="24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>
        <w:rPr>
          <w:rFonts w:ascii="Arial" w:eastAsia="MS Mincho" w:hAnsi="Arial" w:cs="Arial"/>
          <w:b/>
          <w:i/>
          <w:noProof/>
          <w:sz w:val="20"/>
          <w:szCs w:val="20"/>
          <w:lang w:val="en-US"/>
        </w:rPr>
        <w:drawing>
          <wp:inline distT="0" distB="0" distL="0" distR="0" wp14:anchorId="06282FA5" wp14:editId="48C12507">
            <wp:extent cx="5731510" cy="2280285"/>
            <wp:effectExtent l="0" t="0" r="254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9CFB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FA43" w14:textId="665467AB" w:rsidR="001F6A38" w:rsidRDefault="001F6A38">
      <w:pPr>
        <w:spacing w:after="24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597852">
        <w:rPr>
          <w:rFonts w:ascii="Arial" w:eastAsia="MS Mincho" w:hAnsi="Arial" w:cs="Arial"/>
          <w:b/>
          <w:i/>
          <w:sz w:val="20"/>
          <w:szCs w:val="20"/>
          <w:lang w:val="en-US"/>
        </w:rPr>
        <w:t xml:space="preserve">B. </w:t>
      </w:r>
    </w:p>
    <w:p w14:paraId="4F1A03D4" w14:textId="7431D18F" w:rsidR="00503881" w:rsidRPr="00597852" w:rsidRDefault="00503881">
      <w:pPr>
        <w:spacing w:after="24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>
        <w:rPr>
          <w:rFonts w:ascii="Arial" w:eastAsia="MS Mincho" w:hAnsi="Arial" w:cs="Arial"/>
          <w:b/>
          <w:i/>
          <w:noProof/>
          <w:sz w:val="20"/>
          <w:szCs w:val="20"/>
          <w:lang w:val="en-US"/>
        </w:rPr>
        <w:drawing>
          <wp:inline distT="0" distB="0" distL="0" distR="0" wp14:anchorId="36414234" wp14:editId="3F1CF091">
            <wp:extent cx="5731510" cy="231076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9CD09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7E65" w14:textId="77777777" w:rsidR="001F6A38" w:rsidRPr="00597852" w:rsidRDefault="00597852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sz w:val="20"/>
          <w:szCs w:val="20"/>
          <w:lang w:val="en-US"/>
        </w:rPr>
        <w:t>Notes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Error bars represent standard deviation. Please see the p-values for the pair-wise comparisons of the blood eosinophil categories for COPD-related and all-cause HCRU in</w:t>
      </w:r>
      <w:r w:rsidR="001F6A38" w:rsidRPr="00597852">
        <w:rPr>
          <w:rFonts w:ascii="Arial" w:eastAsia="MS Mincho" w:hAnsi="Arial" w:cs="Arial"/>
          <w:b/>
          <w:sz w:val="20"/>
          <w:szCs w:val="20"/>
          <w:lang w:val="en-US"/>
        </w:rPr>
        <w:t xml:space="preserve"> Supplementary Table 5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.</w:t>
      </w:r>
    </w:p>
    <w:p w14:paraId="2AABB78C" w14:textId="4B5E9D21" w:rsidR="00592568" w:rsidRDefault="00597852" w:rsidP="00592568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CE4097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COPD, chronic obstructive pulmonary disease; EOS, 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 xml:space="preserve">blood eosinophil count;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HCRU, healthcare resource utilization; MITT, multiple inhaled triple therapy.</w:t>
      </w:r>
      <w:r w:rsidR="00592568">
        <w:rPr>
          <w:rFonts w:ascii="Arial" w:eastAsia="MS Mincho" w:hAnsi="Arial" w:cs="Arial"/>
          <w:sz w:val="20"/>
          <w:szCs w:val="20"/>
          <w:lang w:val="en-US"/>
        </w:rPr>
        <w:br w:type="page"/>
      </w:r>
    </w:p>
    <w:p w14:paraId="095A90FC" w14:textId="734B88A0" w:rsidR="001F6A38" w:rsidRPr="000902AA" w:rsidRDefault="001F6A38">
      <w:pPr>
        <w:pageBreakBefore/>
        <w:spacing w:after="240" w:line="480" w:lineRule="auto"/>
        <w:rPr>
          <w:rFonts w:ascii="Arial" w:eastAsia="Calibri" w:hAnsi="Arial" w:cs="Arial"/>
          <w:sz w:val="20"/>
          <w:szCs w:val="20"/>
          <w:lang w:val="en-US"/>
        </w:rPr>
      </w:pPr>
      <w:r w:rsidRPr="000902AA">
        <w:rPr>
          <w:rFonts w:ascii="Arial" w:eastAsia="Calibri" w:hAnsi="Arial" w:cs="Arial"/>
          <w:b/>
          <w:sz w:val="20"/>
          <w:szCs w:val="20"/>
          <w:lang w:val="en-US"/>
        </w:rPr>
        <w:lastRenderedPageBreak/>
        <w:t xml:space="preserve">Figure S4 </w:t>
      </w:r>
      <w:r w:rsidRPr="000902AA">
        <w:rPr>
          <w:rFonts w:ascii="Arial" w:eastAsia="Calibri" w:hAnsi="Arial" w:cs="Arial"/>
          <w:sz w:val="20"/>
          <w:szCs w:val="20"/>
          <w:lang w:val="en-US"/>
        </w:rPr>
        <w:t>COPD-related pharmacy prescriptions (A) and all-cause pharmacy prescriptions (B) according to EOS in patients with exacerbations while receiving MITT during the observation period</w:t>
      </w:r>
      <w:r w:rsidR="00597852" w:rsidRPr="000902AA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7278D3C2" w14:textId="77777777" w:rsidR="001F6A38" w:rsidRPr="00597852" w:rsidRDefault="001F6A38">
      <w:pPr>
        <w:spacing w:after="24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597852">
        <w:rPr>
          <w:rFonts w:ascii="Arial" w:eastAsia="MS Mincho" w:hAnsi="Arial" w:cs="Arial"/>
          <w:b/>
          <w:i/>
          <w:sz w:val="20"/>
          <w:szCs w:val="20"/>
          <w:lang w:val="en-US"/>
        </w:rPr>
        <w:t xml:space="preserve">A. </w:t>
      </w:r>
    </w:p>
    <w:p w14:paraId="2060ACDE" w14:textId="77777777" w:rsidR="001F6A38" w:rsidRPr="00597852" w:rsidRDefault="001F6A38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935AAF">
        <w:rPr>
          <w:rFonts w:ascii="Arial" w:eastAsia="MS Mincho" w:hAnsi="Arial" w:cs="Arial"/>
          <w:noProof/>
          <w:sz w:val="20"/>
          <w:szCs w:val="20"/>
          <w:lang w:val="en-US"/>
        </w:rPr>
        <w:drawing>
          <wp:inline distT="0" distB="0" distL="0" distR="0" wp14:anchorId="6812940B" wp14:editId="2BC64A21">
            <wp:extent cx="5468400" cy="2178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21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49000" w14:textId="77777777" w:rsidR="001F6A38" w:rsidRPr="00597852" w:rsidRDefault="001F6A38">
      <w:pPr>
        <w:spacing w:after="240" w:line="480" w:lineRule="auto"/>
        <w:rPr>
          <w:rFonts w:ascii="Arial" w:eastAsia="MS Mincho" w:hAnsi="Arial" w:cs="Arial"/>
          <w:b/>
          <w:i/>
          <w:sz w:val="20"/>
          <w:szCs w:val="20"/>
          <w:lang w:val="en-US"/>
        </w:rPr>
      </w:pPr>
      <w:r w:rsidRPr="00597852">
        <w:rPr>
          <w:rFonts w:ascii="Arial" w:eastAsia="MS Mincho" w:hAnsi="Arial" w:cs="Arial"/>
          <w:b/>
          <w:i/>
          <w:sz w:val="20"/>
          <w:szCs w:val="20"/>
          <w:lang w:val="en-US"/>
        </w:rPr>
        <w:t xml:space="preserve">B. </w:t>
      </w:r>
    </w:p>
    <w:p w14:paraId="70A5112F" w14:textId="77777777" w:rsidR="001F6A38" w:rsidRPr="000902AA" w:rsidRDefault="001F6A38">
      <w:pPr>
        <w:spacing w:after="24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0902AA">
        <w:rPr>
          <w:rFonts w:ascii="Arial" w:eastAsia="MS Mincho" w:hAnsi="Arial" w:cs="Arial"/>
          <w:noProof/>
          <w:sz w:val="20"/>
          <w:szCs w:val="20"/>
          <w:lang w:val="en-US"/>
        </w:rPr>
        <w:drawing>
          <wp:inline distT="0" distB="0" distL="0" distR="0" wp14:anchorId="7116AF8C" wp14:editId="0E598CB7">
            <wp:extent cx="5468400" cy="217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21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13954" w14:textId="77777777" w:rsidR="001F6A38" w:rsidRPr="00597852" w:rsidRDefault="00597852">
      <w:pPr>
        <w:spacing w:after="0" w:line="480" w:lineRule="auto"/>
        <w:rPr>
          <w:rFonts w:ascii="Arial" w:eastAsia="MS Mincho" w:hAnsi="Arial" w:cs="Arial"/>
          <w:sz w:val="20"/>
          <w:szCs w:val="20"/>
          <w:lang w:val="en-US"/>
        </w:rPr>
      </w:pPr>
      <w:r w:rsidRPr="000902AA">
        <w:rPr>
          <w:rFonts w:ascii="Arial" w:eastAsia="MS Mincho" w:hAnsi="Arial" w:cs="Arial"/>
          <w:b/>
          <w:sz w:val="20"/>
          <w:szCs w:val="20"/>
          <w:lang w:val="en-US"/>
        </w:rPr>
        <w:t>Notes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Error bars represent standard deviation. Please see the p-values for the pair-wise comparisons of the blood eosinophil categories for COPD-related and all-cause pharmacy prescriptions in</w:t>
      </w:r>
      <w:r w:rsidR="001F6A38" w:rsidRPr="00597852">
        <w:rPr>
          <w:rFonts w:ascii="Arial" w:eastAsia="MS Mincho" w:hAnsi="Arial" w:cs="Arial"/>
          <w:b/>
          <w:sz w:val="20"/>
          <w:szCs w:val="20"/>
          <w:lang w:val="en-US"/>
        </w:rPr>
        <w:t xml:space="preserve"> Supplementary Table 5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.</w:t>
      </w:r>
    </w:p>
    <w:p w14:paraId="69510BBA" w14:textId="77777777" w:rsidR="001F6A38" w:rsidRPr="00597852" w:rsidRDefault="00597852">
      <w:pPr>
        <w:spacing w:after="240" w:line="480" w:lineRule="auto"/>
        <w:rPr>
          <w:rFonts w:ascii="Arial" w:eastAsia="MS Mincho" w:hAnsi="Arial" w:cs="Arial"/>
          <w:i/>
          <w:sz w:val="20"/>
          <w:szCs w:val="20"/>
          <w:lang w:val="en-US"/>
        </w:rPr>
      </w:pPr>
      <w:r w:rsidRPr="000902AA">
        <w:rPr>
          <w:rFonts w:ascii="Arial" w:eastAsia="MS Mincho" w:hAnsi="Arial" w:cs="Arial"/>
          <w:b/>
          <w:sz w:val="20"/>
          <w:szCs w:val="20"/>
          <w:lang w:val="en-US"/>
        </w:rPr>
        <w:t>Abbreviations</w:t>
      </w:r>
      <w:r w:rsidRPr="00597852">
        <w:rPr>
          <w:rFonts w:ascii="Arial" w:eastAsia="MS Mincho" w:hAnsi="Arial" w:cs="Arial"/>
          <w:sz w:val="20"/>
          <w:szCs w:val="20"/>
          <w:lang w:val="en-US"/>
        </w:rPr>
        <w:t xml:space="preserve">: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 xml:space="preserve">COPD, chronic obstructive pulmonary disease; EOS, </w:t>
      </w:r>
      <w:r w:rsidR="001F6A38" w:rsidRPr="00935AAF">
        <w:rPr>
          <w:rFonts w:ascii="Arial" w:eastAsia="MS Mincho" w:hAnsi="Arial" w:cs="Arial"/>
          <w:sz w:val="20"/>
          <w:szCs w:val="20"/>
          <w:lang w:val="en-US"/>
        </w:rPr>
        <w:t xml:space="preserve">blood eosinophil count; </w:t>
      </w:r>
      <w:r w:rsidR="001F6A38" w:rsidRPr="00597852">
        <w:rPr>
          <w:rFonts w:ascii="Arial" w:eastAsia="MS Mincho" w:hAnsi="Arial" w:cs="Arial"/>
          <w:sz w:val="20"/>
          <w:szCs w:val="20"/>
          <w:lang w:val="en-US"/>
        </w:rPr>
        <w:t>MITT, multiple inhaled triple therapy.</w:t>
      </w:r>
    </w:p>
    <w:p w14:paraId="653BD1F5" w14:textId="77777777" w:rsidR="00417F84" w:rsidRPr="000902AA" w:rsidRDefault="00417F84" w:rsidP="000902AA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417F84" w:rsidRPr="00090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38"/>
    <w:rsid w:val="00003F30"/>
    <w:rsid w:val="000263C4"/>
    <w:rsid w:val="00037858"/>
    <w:rsid w:val="00045AA3"/>
    <w:rsid w:val="0005531B"/>
    <w:rsid w:val="00060889"/>
    <w:rsid w:val="00070D45"/>
    <w:rsid w:val="00071858"/>
    <w:rsid w:val="0008519D"/>
    <w:rsid w:val="0008592A"/>
    <w:rsid w:val="000902AA"/>
    <w:rsid w:val="000A1E7B"/>
    <w:rsid w:val="000A2CBF"/>
    <w:rsid w:val="000B5923"/>
    <w:rsid w:val="000C1A1F"/>
    <w:rsid w:val="000E2933"/>
    <w:rsid w:val="00111997"/>
    <w:rsid w:val="00130D10"/>
    <w:rsid w:val="0015047F"/>
    <w:rsid w:val="0015494C"/>
    <w:rsid w:val="001557BD"/>
    <w:rsid w:val="0017484E"/>
    <w:rsid w:val="00175FD0"/>
    <w:rsid w:val="001847FA"/>
    <w:rsid w:val="001A422E"/>
    <w:rsid w:val="001B17F7"/>
    <w:rsid w:val="001B1AC3"/>
    <w:rsid w:val="001C49FB"/>
    <w:rsid w:val="001C5660"/>
    <w:rsid w:val="001D335B"/>
    <w:rsid w:val="001D69B3"/>
    <w:rsid w:val="001F0114"/>
    <w:rsid w:val="001F2F1A"/>
    <w:rsid w:val="001F6A38"/>
    <w:rsid w:val="00202CFC"/>
    <w:rsid w:val="00210213"/>
    <w:rsid w:val="0021379D"/>
    <w:rsid w:val="00213EF5"/>
    <w:rsid w:val="0024012C"/>
    <w:rsid w:val="00245CB4"/>
    <w:rsid w:val="00256A69"/>
    <w:rsid w:val="00266F1C"/>
    <w:rsid w:val="002747E1"/>
    <w:rsid w:val="0028127B"/>
    <w:rsid w:val="002836AA"/>
    <w:rsid w:val="00285197"/>
    <w:rsid w:val="00287B3B"/>
    <w:rsid w:val="0029008F"/>
    <w:rsid w:val="00293674"/>
    <w:rsid w:val="002A316C"/>
    <w:rsid w:val="002B10F0"/>
    <w:rsid w:val="002B380D"/>
    <w:rsid w:val="002D4258"/>
    <w:rsid w:val="002D4C21"/>
    <w:rsid w:val="002D715F"/>
    <w:rsid w:val="002E1DD7"/>
    <w:rsid w:val="002E4489"/>
    <w:rsid w:val="002E58B3"/>
    <w:rsid w:val="00311100"/>
    <w:rsid w:val="00363E15"/>
    <w:rsid w:val="003770FF"/>
    <w:rsid w:val="003A1298"/>
    <w:rsid w:val="003B0423"/>
    <w:rsid w:val="003B5B00"/>
    <w:rsid w:val="003B6374"/>
    <w:rsid w:val="003B6645"/>
    <w:rsid w:val="003C17FD"/>
    <w:rsid w:val="00415590"/>
    <w:rsid w:val="00416978"/>
    <w:rsid w:val="00417F84"/>
    <w:rsid w:val="0042366C"/>
    <w:rsid w:val="00425E9C"/>
    <w:rsid w:val="004357E3"/>
    <w:rsid w:val="004357F4"/>
    <w:rsid w:val="004415F5"/>
    <w:rsid w:val="00445BB5"/>
    <w:rsid w:val="00453850"/>
    <w:rsid w:val="00453BA7"/>
    <w:rsid w:val="004A54F3"/>
    <w:rsid w:val="004B0C34"/>
    <w:rsid w:val="004B7E87"/>
    <w:rsid w:val="004D0C6F"/>
    <w:rsid w:val="004D23D6"/>
    <w:rsid w:val="004E395E"/>
    <w:rsid w:val="004E52EC"/>
    <w:rsid w:val="004F2DC4"/>
    <w:rsid w:val="00503881"/>
    <w:rsid w:val="005051D2"/>
    <w:rsid w:val="00515DF9"/>
    <w:rsid w:val="00526056"/>
    <w:rsid w:val="00540353"/>
    <w:rsid w:val="00551D97"/>
    <w:rsid w:val="005545DC"/>
    <w:rsid w:val="005659D6"/>
    <w:rsid w:val="00567B03"/>
    <w:rsid w:val="00580DAA"/>
    <w:rsid w:val="00592568"/>
    <w:rsid w:val="00594E60"/>
    <w:rsid w:val="00597852"/>
    <w:rsid w:val="005A107C"/>
    <w:rsid w:val="005A7141"/>
    <w:rsid w:val="005B239E"/>
    <w:rsid w:val="005B2BC8"/>
    <w:rsid w:val="005C3F14"/>
    <w:rsid w:val="005D07CF"/>
    <w:rsid w:val="005D7393"/>
    <w:rsid w:val="005D7CCD"/>
    <w:rsid w:val="005F01D4"/>
    <w:rsid w:val="00610405"/>
    <w:rsid w:val="00621BA0"/>
    <w:rsid w:val="00633595"/>
    <w:rsid w:val="00636595"/>
    <w:rsid w:val="0064050C"/>
    <w:rsid w:val="006438BB"/>
    <w:rsid w:val="0065095E"/>
    <w:rsid w:val="0065408B"/>
    <w:rsid w:val="00654772"/>
    <w:rsid w:val="006547A2"/>
    <w:rsid w:val="0066276E"/>
    <w:rsid w:val="0066755C"/>
    <w:rsid w:val="00670E7E"/>
    <w:rsid w:val="00681E65"/>
    <w:rsid w:val="006C0E67"/>
    <w:rsid w:val="006C355B"/>
    <w:rsid w:val="006E27D7"/>
    <w:rsid w:val="006F1BBF"/>
    <w:rsid w:val="00707DB0"/>
    <w:rsid w:val="007103CF"/>
    <w:rsid w:val="00727C92"/>
    <w:rsid w:val="007370E7"/>
    <w:rsid w:val="00755D28"/>
    <w:rsid w:val="007570D3"/>
    <w:rsid w:val="007603FC"/>
    <w:rsid w:val="0078171A"/>
    <w:rsid w:val="00782710"/>
    <w:rsid w:val="007A1527"/>
    <w:rsid w:val="007A6E9E"/>
    <w:rsid w:val="007B2535"/>
    <w:rsid w:val="007B6790"/>
    <w:rsid w:val="007B769D"/>
    <w:rsid w:val="007D6494"/>
    <w:rsid w:val="007F5959"/>
    <w:rsid w:val="00802E80"/>
    <w:rsid w:val="00813D72"/>
    <w:rsid w:val="008211C3"/>
    <w:rsid w:val="008276AB"/>
    <w:rsid w:val="00830E8F"/>
    <w:rsid w:val="00831C52"/>
    <w:rsid w:val="008545F9"/>
    <w:rsid w:val="008674E7"/>
    <w:rsid w:val="00886AB1"/>
    <w:rsid w:val="008879C5"/>
    <w:rsid w:val="0089295D"/>
    <w:rsid w:val="00896ABA"/>
    <w:rsid w:val="008A2AB7"/>
    <w:rsid w:val="008A3065"/>
    <w:rsid w:val="008A6005"/>
    <w:rsid w:val="008A604E"/>
    <w:rsid w:val="008A7E07"/>
    <w:rsid w:val="008B2598"/>
    <w:rsid w:val="008C34FD"/>
    <w:rsid w:val="008D09A0"/>
    <w:rsid w:val="008D5F9E"/>
    <w:rsid w:val="008E7CC1"/>
    <w:rsid w:val="008F6D78"/>
    <w:rsid w:val="009119F2"/>
    <w:rsid w:val="0092302E"/>
    <w:rsid w:val="00923C98"/>
    <w:rsid w:val="00923FE6"/>
    <w:rsid w:val="00927FC9"/>
    <w:rsid w:val="00933885"/>
    <w:rsid w:val="00935AAF"/>
    <w:rsid w:val="00936684"/>
    <w:rsid w:val="00936AA5"/>
    <w:rsid w:val="0094304A"/>
    <w:rsid w:val="009628E4"/>
    <w:rsid w:val="00965797"/>
    <w:rsid w:val="00965939"/>
    <w:rsid w:val="0099020C"/>
    <w:rsid w:val="00990B2D"/>
    <w:rsid w:val="00995648"/>
    <w:rsid w:val="009A4531"/>
    <w:rsid w:val="009B0062"/>
    <w:rsid w:val="009B2610"/>
    <w:rsid w:val="009D0E35"/>
    <w:rsid w:val="009D4904"/>
    <w:rsid w:val="009E0EC4"/>
    <w:rsid w:val="009E22A7"/>
    <w:rsid w:val="00A024CB"/>
    <w:rsid w:val="00A032EE"/>
    <w:rsid w:val="00A10FF3"/>
    <w:rsid w:val="00A160AB"/>
    <w:rsid w:val="00A214BB"/>
    <w:rsid w:val="00A560BB"/>
    <w:rsid w:val="00A63F1B"/>
    <w:rsid w:val="00A86614"/>
    <w:rsid w:val="00A96727"/>
    <w:rsid w:val="00AD1096"/>
    <w:rsid w:val="00AD14B8"/>
    <w:rsid w:val="00AD360E"/>
    <w:rsid w:val="00AD361A"/>
    <w:rsid w:val="00AE7053"/>
    <w:rsid w:val="00AF207C"/>
    <w:rsid w:val="00AF5CB5"/>
    <w:rsid w:val="00B13E78"/>
    <w:rsid w:val="00B2501B"/>
    <w:rsid w:val="00B34BB1"/>
    <w:rsid w:val="00B55C90"/>
    <w:rsid w:val="00B57EA4"/>
    <w:rsid w:val="00B7040D"/>
    <w:rsid w:val="00B71FB5"/>
    <w:rsid w:val="00B807C1"/>
    <w:rsid w:val="00B80E24"/>
    <w:rsid w:val="00BB1369"/>
    <w:rsid w:val="00BC2483"/>
    <w:rsid w:val="00BC59BF"/>
    <w:rsid w:val="00BE2853"/>
    <w:rsid w:val="00C22A57"/>
    <w:rsid w:val="00C252CA"/>
    <w:rsid w:val="00C27887"/>
    <w:rsid w:val="00C35A80"/>
    <w:rsid w:val="00C82BBE"/>
    <w:rsid w:val="00C84569"/>
    <w:rsid w:val="00C86FEE"/>
    <w:rsid w:val="00CA007F"/>
    <w:rsid w:val="00CA1D82"/>
    <w:rsid w:val="00CA7488"/>
    <w:rsid w:val="00CB48D8"/>
    <w:rsid w:val="00CB4FC2"/>
    <w:rsid w:val="00CC5A5F"/>
    <w:rsid w:val="00CE1BDB"/>
    <w:rsid w:val="00CE4097"/>
    <w:rsid w:val="00CF26B7"/>
    <w:rsid w:val="00D061F3"/>
    <w:rsid w:val="00D234D2"/>
    <w:rsid w:val="00D34B70"/>
    <w:rsid w:val="00D34E15"/>
    <w:rsid w:val="00D35F7F"/>
    <w:rsid w:val="00D51DF4"/>
    <w:rsid w:val="00D70487"/>
    <w:rsid w:val="00D85AA6"/>
    <w:rsid w:val="00D87EB6"/>
    <w:rsid w:val="00D92D10"/>
    <w:rsid w:val="00DA7F58"/>
    <w:rsid w:val="00DC4D84"/>
    <w:rsid w:val="00DC6AA4"/>
    <w:rsid w:val="00DD3DA1"/>
    <w:rsid w:val="00DE1E2D"/>
    <w:rsid w:val="00DE6B02"/>
    <w:rsid w:val="00DF1141"/>
    <w:rsid w:val="00DF509B"/>
    <w:rsid w:val="00DF641F"/>
    <w:rsid w:val="00E03A41"/>
    <w:rsid w:val="00E06E09"/>
    <w:rsid w:val="00E224DC"/>
    <w:rsid w:val="00E25E72"/>
    <w:rsid w:val="00E270CA"/>
    <w:rsid w:val="00E41A49"/>
    <w:rsid w:val="00E50435"/>
    <w:rsid w:val="00E60108"/>
    <w:rsid w:val="00E66E22"/>
    <w:rsid w:val="00E673CB"/>
    <w:rsid w:val="00E83544"/>
    <w:rsid w:val="00E85AB6"/>
    <w:rsid w:val="00EC096D"/>
    <w:rsid w:val="00ED0D2E"/>
    <w:rsid w:val="00ED1265"/>
    <w:rsid w:val="00ED33DC"/>
    <w:rsid w:val="00EE12BE"/>
    <w:rsid w:val="00EE67B2"/>
    <w:rsid w:val="00F31B06"/>
    <w:rsid w:val="00F36A0B"/>
    <w:rsid w:val="00F3798C"/>
    <w:rsid w:val="00F450E4"/>
    <w:rsid w:val="00F569EC"/>
    <w:rsid w:val="00F61BE9"/>
    <w:rsid w:val="00F6219E"/>
    <w:rsid w:val="00F74340"/>
    <w:rsid w:val="00F8589B"/>
    <w:rsid w:val="00FA5270"/>
    <w:rsid w:val="00FA6BFF"/>
    <w:rsid w:val="00FC4574"/>
    <w:rsid w:val="00FD2D26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6BC9"/>
  <w15:chartTrackingRefBased/>
  <w15:docId w15:val="{481D054C-AE4F-4963-A898-5B339013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A38"/>
    <w:pPr>
      <w:spacing w:after="240" w:line="240" w:lineRule="auto"/>
    </w:pPr>
    <w:rPr>
      <w:rFonts w:ascii="Arial" w:eastAsia="MS Mincho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A38"/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59"/>
    <w:rsid w:val="001F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3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52"/>
    <w:pPr>
      <w:spacing w:after="160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52"/>
    <w:rPr>
      <w:rFonts w:ascii="Arial" w:eastAsia="MS Mincho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3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png"/><Relationship Id="rId4" Type="http://schemas.openxmlformats.org/officeDocument/2006/relationships/image" Target="media/image1.tmp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Dalrymple</dc:creator>
  <cp:keywords/>
  <dc:description/>
  <cp:lastModifiedBy>Boon Lee</cp:lastModifiedBy>
  <cp:revision>2</cp:revision>
  <dcterms:created xsi:type="dcterms:W3CDTF">2019-03-12T23:23:00Z</dcterms:created>
  <dcterms:modified xsi:type="dcterms:W3CDTF">2019-03-12T23:23:00Z</dcterms:modified>
</cp:coreProperties>
</file>