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32" w:rsidRPr="00A137DB" w:rsidRDefault="00E34254" w:rsidP="00AC6432">
      <w:pPr>
        <w:rPr>
          <w:b/>
        </w:rPr>
      </w:pPr>
      <w:r>
        <w:rPr>
          <w:b/>
        </w:rPr>
        <w:t>Supplementary materials</w:t>
      </w:r>
    </w:p>
    <w:p w:rsidR="00AC6432" w:rsidRDefault="00AC6432" w:rsidP="00AF1303">
      <w:pPr>
        <w:spacing w:line="360" w:lineRule="auto"/>
      </w:pPr>
      <w:r w:rsidRPr="0093106B">
        <w:rPr>
          <w:b/>
        </w:rPr>
        <w:t>Exercise Protocol</w:t>
      </w:r>
      <w:r>
        <w:t>. Patients in the transcutaneous neuromuscular electrical stimulation grou</w:t>
      </w:r>
      <w:bookmarkStart w:id="0" w:name="_GoBack"/>
      <w:bookmarkEnd w:id="0"/>
      <w:r>
        <w:t>p (NMES; n = 13) performed a NMES protocol delivered using a hand-held, battery powered device (</w:t>
      </w:r>
      <w:proofErr w:type="spellStart"/>
      <w:r>
        <w:t>Empi</w:t>
      </w:r>
      <w:proofErr w:type="spellEnd"/>
      <w:r>
        <w:t xml:space="preserve"> </w:t>
      </w:r>
      <w:proofErr w:type="spellStart"/>
      <w:r>
        <w:t>300PV</w:t>
      </w:r>
      <w:proofErr w:type="spellEnd"/>
      <w:r>
        <w:t xml:space="preserve">, </w:t>
      </w:r>
      <w:r w:rsidRPr="00250298">
        <w:t>Minnesota</w:t>
      </w:r>
      <w:r>
        <w:t xml:space="preserve">, USA) linked to two skin surface gel electrodes (7 x 4 cm). The negative electrode was positioned proximal to the patella so as to cover the motor points of the vastus lateralis and vastus medialis muscles with the positive electrode placed longitudinally over the rectus femoris motor point. The 30 min stimulation protocol consisted of repetitions of 15 s stimulation (including 2 s ramp-up and 2 s ramp-down of current) and 5 s rest. Stimulation was a biphasic pulse at 50 Hz with a pulse duration of 300 µs.  During stimulation patients were seated with knees extended and supported on a physiotherapists couch. </w:t>
      </w:r>
    </w:p>
    <w:p w:rsidR="00AC6432" w:rsidRDefault="00AC6432" w:rsidP="00AF1303">
      <w:pPr>
        <w:spacing w:line="360" w:lineRule="auto"/>
      </w:pPr>
      <w:r w:rsidRPr="007A00A0">
        <w:rPr>
          <w:b/>
        </w:rPr>
        <w:t>RNA Extraction</w:t>
      </w:r>
      <w:r>
        <w:t xml:space="preserve">. Previously frozen muscle samples were homogenised in </w:t>
      </w:r>
      <w:r w:rsidRPr="008C1A5E">
        <w:t>TRI Reagent Solution (Applied Biosystems /</w:t>
      </w:r>
      <w:r>
        <w:t xml:space="preserve"> Life Technologies, Paisley, UK). Chloroform was used to separate the homogenate into aqueous-, inter- and organic-phases. RNA was precipitated from the aqueous phase with isopropanol, the resulting pellet washed in ethanol and then re-suspended in nuclease free water.</w:t>
      </w:r>
    </w:p>
    <w:p w:rsidR="00AC6432" w:rsidRDefault="00AC6432" w:rsidP="00E97D31">
      <w:pPr>
        <w:spacing w:line="360" w:lineRule="auto"/>
      </w:pPr>
      <w:r>
        <w:t xml:space="preserve">Extracted RNA was quantified according to its absorbance of </w:t>
      </w:r>
      <w:proofErr w:type="spellStart"/>
      <w:r>
        <w:t>260nm</w:t>
      </w:r>
      <w:proofErr w:type="spellEnd"/>
      <w:r>
        <w:t xml:space="preserve"> light (Nanodrop 2000 Spectrophotometer, </w:t>
      </w:r>
      <w:proofErr w:type="spellStart"/>
      <w:r>
        <w:t>Thermoscientific</w:t>
      </w:r>
      <w:proofErr w:type="spellEnd"/>
      <w:r>
        <w:t>, Waltham, MA, USA) before reverse transcription to cDNA. One micro-gram of RNA per sample was incubated with random hexamer primers, dNTPs (deoxynucleotide triphosphates) and reverse transcriptase (</w:t>
      </w:r>
      <w:proofErr w:type="spellStart"/>
      <w:r>
        <w:t>SuperScript</w:t>
      </w:r>
      <w:proofErr w:type="spellEnd"/>
      <w:r>
        <w:t xml:space="preserve"> III, Life Technologies / Invitrogen) in order to synthesise complimentary DNA.</w:t>
      </w:r>
    </w:p>
    <w:p w:rsidR="00AC6432" w:rsidRPr="00D25F1C" w:rsidRDefault="00EF058A" w:rsidP="007A76C6">
      <w:pPr>
        <w:spacing w:line="360" w:lineRule="auto"/>
        <w:rPr>
          <w:b/>
        </w:rPr>
      </w:pPr>
      <w:r w:rsidRPr="007A76C6">
        <w:t xml:space="preserve">Change in abundance of mRNA is expressed using the widely accepted </w:t>
      </w:r>
      <w:proofErr w:type="spellStart"/>
      <w:r w:rsidRPr="007A76C6">
        <w:t>ΔΔCT</w:t>
      </w:r>
      <w:proofErr w:type="spellEnd"/>
      <w:r w:rsidRPr="007A76C6">
        <w:t xml:space="preserve"> method </w:t>
      </w:r>
      <w:proofErr w:type="gramStart"/>
      <w:r w:rsidRPr="007A76C6">
        <w:t xml:space="preserve">( </w:t>
      </w:r>
      <w:proofErr w:type="spellStart"/>
      <w:r w:rsidRPr="007A76C6">
        <w:t>Livak</w:t>
      </w:r>
      <w:proofErr w:type="spellEnd"/>
      <w:proofErr w:type="gramEnd"/>
      <w:r w:rsidRPr="007A76C6">
        <w:t xml:space="preserve"> &amp; </w:t>
      </w:r>
      <w:proofErr w:type="spellStart"/>
      <w:r w:rsidRPr="007A76C6">
        <w:t>Schmittgen</w:t>
      </w:r>
      <w:proofErr w:type="spellEnd"/>
      <w:r w:rsidRPr="007A76C6">
        <w:t>, Methods; 2001). In this term, the first Δ refers to the relative difference between target and housekeeping gene within a sample (ΔCT), the second Δ refers to the relative difference between ΔCT in the baseline and 24 hr samples.  The value of ΔΔCT equates to fold change from baseline in the target gene.</w:t>
      </w:r>
      <w:r w:rsidR="00AC6432" w:rsidRPr="00D25F1C">
        <w:rPr>
          <w:b/>
        </w:rPr>
        <w:br w:type="page"/>
      </w:r>
    </w:p>
    <w:tbl>
      <w:tblPr>
        <w:tblW w:w="8642" w:type="dxa"/>
        <w:tblLook w:val="04A0" w:firstRow="1" w:lastRow="0" w:firstColumn="1" w:lastColumn="0" w:noHBand="0" w:noVBand="1"/>
      </w:tblPr>
      <w:tblGrid>
        <w:gridCol w:w="1555"/>
        <w:gridCol w:w="7087"/>
      </w:tblGrid>
      <w:tr w:rsidR="00AC6432" w:rsidRPr="001B6AD3" w:rsidTr="003B0F93">
        <w:trPr>
          <w:trHeight w:val="300"/>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99311B">
              <w:rPr>
                <w:rFonts w:ascii="Calibri" w:eastAsia="Times New Roman" w:hAnsi="Calibri" w:cs="Times New Roman"/>
                <w:b/>
                <w:color w:val="000000"/>
                <w:lang w:eastAsia="en-GB"/>
              </w:rPr>
              <w:lastRenderedPageBreak/>
              <w:t>Table S1.</w:t>
            </w:r>
            <w:r w:rsidRPr="001B6AD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Transcript name abbreviations</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b/>
                <w:bCs/>
                <w:color w:val="000000"/>
                <w:lang w:eastAsia="en-GB"/>
              </w:rPr>
            </w:pPr>
            <w:r w:rsidRPr="001B6AD3">
              <w:rPr>
                <w:rFonts w:ascii="Calibri" w:eastAsia="Times New Roman" w:hAnsi="Calibri" w:cs="Times New Roman"/>
                <w:b/>
                <w:bCs/>
                <w:color w:val="000000"/>
                <w:lang w:eastAsia="en-GB"/>
              </w:rPr>
              <w:t>Abbreviation</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Transcript</w:t>
            </w:r>
            <w:r w:rsidRPr="001B6AD3">
              <w:rPr>
                <w:rFonts w:ascii="Calibri" w:eastAsia="Times New Roman" w:hAnsi="Calibri" w:cs="Times New Roman"/>
                <w:b/>
                <w:bCs/>
                <w:color w:val="000000"/>
                <w:lang w:eastAsia="en-GB"/>
              </w:rPr>
              <w:t xml:space="preserve"> name</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AQP4</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aquaporin 4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ASPA</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aspartoacylase</w:t>
            </w:r>
            <w:proofErr w:type="spellEnd"/>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ATP2B2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ATPase, Ca++ transporting, plasma membrane 2</w:t>
            </w:r>
          </w:p>
        </w:tc>
      </w:tr>
      <w:tr w:rsidR="00AC6432" w:rsidRPr="001B6AD3" w:rsidTr="003B0F93">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ATP5G3</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ATP synthase, H+ transporting, mitochondrial </w:t>
            </w:r>
            <w:proofErr w:type="spellStart"/>
            <w:r w:rsidRPr="001B6AD3">
              <w:rPr>
                <w:rFonts w:ascii="Calibri" w:eastAsia="Times New Roman" w:hAnsi="Calibri" w:cs="Times New Roman"/>
                <w:color w:val="000000"/>
                <w:lang w:eastAsia="en-GB"/>
              </w:rPr>
              <w:t>Fo</w:t>
            </w:r>
            <w:proofErr w:type="spellEnd"/>
            <w:r w:rsidRPr="001B6AD3">
              <w:rPr>
                <w:rFonts w:ascii="Calibri" w:eastAsia="Times New Roman" w:hAnsi="Calibri" w:cs="Times New Roman"/>
                <w:color w:val="000000"/>
                <w:lang w:eastAsia="en-GB"/>
              </w:rPr>
              <w:t xml:space="preserve"> complex, subunit </w:t>
            </w:r>
            <w:proofErr w:type="spellStart"/>
            <w:r w:rsidRPr="001B6AD3">
              <w:rPr>
                <w:rFonts w:ascii="Calibri" w:eastAsia="Times New Roman" w:hAnsi="Calibri" w:cs="Times New Roman"/>
                <w:color w:val="000000"/>
                <w:lang w:eastAsia="en-GB"/>
              </w:rPr>
              <w:t>C3</w:t>
            </w:r>
            <w:proofErr w:type="spellEnd"/>
            <w:r w:rsidRPr="001B6AD3">
              <w:rPr>
                <w:rFonts w:ascii="Calibri" w:eastAsia="Times New Roman" w:hAnsi="Calibri" w:cs="Times New Roman"/>
                <w:color w:val="000000"/>
                <w:lang w:eastAsia="en-GB"/>
              </w:rPr>
              <w:t xml:space="preserve"> (subunit 9)</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BCHE</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butyrylcholinesterase</w:t>
            </w:r>
            <w:proofErr w:type="spellEnd"/>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CCL19</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chemokine (C-C motif) ligand 19</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CCNG1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cyclin G1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CCNG2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cyclin G2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CD38</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CD38 molecule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CDK2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cyclin-dependent kinase 2</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CDKN2C</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cyclin-dependent kinase inhibitor 2C (p18, inhibits CDK4)</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CES2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carboxylesterase 2</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CHI3L1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chitinase 3-like 1 (cartilage glycoprotein-39)</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CLCN1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chloride channel, voltage-sensitive 1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CSDE1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cold shock domain containing E1, RNA-binding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CTSL</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cathepsin L</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CYBA</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cytochrome b-245, alpha polypeptide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DYSF</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dysferlin</w:t>
            </w:r>
            <w:proofErr w:type="spellEnd"/>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EIF2B4</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eukaryotic translation initiation factor 2B, subunit 4 delta, 67kDa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EIF4H</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eukaryotic translation initiation factor 4H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ETFB</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electron-transfer-flavoprotein, beta polypeptide</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FADS3</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fatty acid desaturase 3</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FANCA</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Fanconi </w:t>
            </w:r>
            <w:proofErr w:type="spellStart"/>
            <w:r w:rsidRPr="001B6AD3">
              <w:rPr>
                <w:rFonts w:ascii="Calibri" w:eastAsia="Times New Roman" w:hAnsi="Calibri" w:cs="Times New Roman"/>
                <w:color w:val="000000"/>
                <w:lang w:eastAsia="en-GB"/>
              </w:rPr>
              <w:t>anemia</w:t>
            </w:r>
            <w:proofErr w:type="spellEnd"/>
            <w:r w:rsidRPr="001B6AD3">
              <w:rPr>
                <w:rFonts w:ascii="Calibri" w:eastAsia="Times New Roman" w:hAnsi="Calibri" w:cs="Times New Roman"/>
                <w:color w:val="000000"/>
                <w:lang w:eastAsia="en-GB"/>
              </w:rPr>
              <w:t>, complementation group A</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FOS</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FBJ murine osteosarcoma viral oncogene homolog</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GLRX2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glutaredoxin</w:t>
            </w:r>
            <w:proofErr w:type="spellEnd"/>
            <w:r w:rsidRPr="001B6AD3">
              <w:rPr>
                <w:rFonts w:ascii="Calibri" w:eastAsia="Times New Roman" w:hAnsi="Calibri" w:cs="Times New Roman"/>
                <w:color w:val="000000"/>
                <w:lang w:eastAsia="en-GB"/>
              </w:rPr>
              <w:t xml:space="preserve"> 2</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HSPA5</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heat shock 70kDa protein 5 (glucose-regulated protein, 78kDa)</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IL10</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interleukin 10</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IL6</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interleukin 6</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IRS1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insulin receptor substrate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ITGB6</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integrin, beta 6</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JUN</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jun</w:t>
            </w:r>
            <w:proofErr w:type="spellEnd"/>
            <w:r w:rsidRPr="001B6AD3">
              <w:rPr>
                <w:rFonts w:ascii="Calibri" w:eastAsia="Times New Roman" w:hAnsi="Calibri" w:cs="Times New Roman"/>
                <w:color w:val="000000"/>
                <w:lang w:eastAsia="en-GB"/>
              </w:rPr>
              <w:t xml:space="preserve"> proto-oncogene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LTC4S</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leukotriene C4 synthase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MDH1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malate dehydrogenase 1, NAD (soluble)</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MFAP4</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microfibrillar-associated protein 4</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MGST2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microsomal glutathione S-transferase 2</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MN1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meningioma (disrupted in balanced translocation)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MSTN</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myostatin</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MYC</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v-</w:t>
            </w:r>
            <w:proofErr w:type="spellStart"/>
            <w:r w:rsidRPr="001B6AD3">
              <w:rPr>
                <w:rFonts w:ascii="Calibri" w:eastAsia="Times New Roman" w:hAnsi="Calibri" w:cs="Times New Roman"/>
                <w:color w:val="000000"/>
                <w:lang w:eastAsia="en-GB"/>
              </w:rPr>
              <w:t>myc</w:t>
            </w:r>
            <w:proofErr w:type="spellEnd"/>
            <w:r w:rsidRPr="001B6AD3">
              <w:rPr>
                <w:rFonts w:ascii="Calibri" w:eastAsia="Times New Roman" w:hAnsi="Calibri" w:cs="Times New Roman"/>
                <w:color w:val="000000"/>
                <w:lang w:eastAsia="en-GB"/>
              </w:rPr>
              <w:t xml:space="preserve"> avian </w:t>
            </w:r>
            <w:proofErr w:type="spellStart"/>
            <w:r w:rsidRPr="001B6AD3">
              <w:rPr>
                <w:rFonts w:ascii="Calibri" w:eastAsia="Times New Roman" w:hAnsi="Calibri" w:cs="Times New Roman"/>
                <w:color w:val="000000"/>
                <w:lang w:eastAsia="en-GB"/>
              </w:rPr>
              <w:t>myelocytomatosis</w:t>
            </w:r>
            <w:proofErr w:type="spellEnd"/>
            <w:r w:rsidRPr="001B6AD3">
              <w:rPr>
                <w:rFonts w:ascii="Calibri" w:eastAsia="Times New Roman" w:hAnsi="Calibri" w:cs="Times New Roman"/>
                <w:color w:val="000000"/>
                <w:lang w:eastAsia="en-GB"/>
              </w:rPr>
              <w:t xml:space="preserve"> viral oncogene homolog</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MYLPF</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myosin light chain, </w:t>
            </w:r>
            <w:proofErr w:type="spellStart"/>
            <w:r w:rsidRPr="001B6AD3">
              <w:rPr>
                <w:rFonts w:ascii="Calibri" w:eastAsia="Times New Roman" w:hAnsi="Calibri" w:cs="Times New Roman"/>
                <w:color w:val="000000"/>
                <w:lang w:eastAsia="en-GB"/>
              </w:rPr>
              <w:t>phosphorylatable</w:t>
            </w:r>
            <w:proofErr w:type="spellEnd"/>
            <w:r w:rsidRPr="001B6AD3">
              <w:rPr>
                <w:rFonts w:ascii="Calibri" w:eastAsia="Times New Roman" w:hAnsi="Calibri" w:cs="Times New Roman"/>
                <w:color w:val="000000"/>
                <w:lang w:eastAsia="en-GB"/>
              </w:rPr>
              <w:t xml:space="preserve">, fast skeletal muscle </w:t>
            </w:r>
          </w:p>
        </w:tc>
      </w:tr>
      <w:tr w:rsidR="00AC6432" w:rsidRPr="001B6AD3" w:rsidTr="003B0F93">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lastRenderedPageBreak/>
              <w:t>NDUFS3</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NADH dehydrogenase (ubiquinone) Fe-S protein 3, 30kDa (NADH-coenzyme Q reductase)</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NFKB1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nuclear factor of kappa light polypeptide gene enhancer in B-cells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NPY6R</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neuropeptide Y receptor Y6 (pseudogene)</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OSTM1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osteopetrosis associated transmembrane protein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P2RX5</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purinergic receptor P2X, ligand gated ion channel, 5</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PCCB</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propionyl CoA carboxylase, beta polypeptide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PLA2G4C</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phospholipase A2, group IVC (cytosolic, calcium-independent)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PPARD</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peroxisome proliferator-activated receptor delta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PPIA</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peptidylprolyl isomerase A (cyclophilin A)</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PXMP4</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peroxisomal membrane protein 4, 24kDa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RASGRP3</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RAS guanyl releasing protein 3 (calcium and DAG-regulated)</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RELA</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v-</w:t>
            </w:r>
            <w:proofErr w:type="spellStart"/>
            <w:r w:rsidRPr="001B6AD3">
              <w:rPr>
                <w:rFonts w:ascii="Calibri" w:eastAsia="Times New Roman" w:hAnsi="Calibri" w:cs="Times New Roman"/>
                <w:color w:val="000000"/>
                <w:lang w:eastAsia="en-GB"/>
              </w:rPr>
              <w:t>rel</w:t>
            </w:r>
            <w:proofErr w:type="spellEnd"/>
            <w:r w:rsidRPr="001B6AD3">
              <w:rPr>
                <w:rFonts w:ascii="Calibri" w:eastAsia="Times New Roman" w:hAnsi="Calibri" w:cs="Times New Roman"/>
                <w:color w:val="000000"/>
                <w:lang w:eastAsia="en-GB"/>
              </w:rPr>
              <w:t xml:space="preserve"> avian </w:t>
            </w:r>
            <w:proofErr w:type="spellStart"/>
            <w:r w:rsidRPr="001B6AD3">
              <w:rPr>
                <w:rFonts w:ascii="Calibri" w:eastAsia="Times New Roman" w:hAnsi="Calibri" w:cs="Times New Roman"/>
                <w:color w:val="000000"/>
                <w:lang w:eastAsia="en-GB"/>
              </w:rPr>
              <w:t>reticuloendotheliosis</w:t>
            </w:r>
            <w:proofErr w:type="spellEnd"/>
            <w:r w:rsidRPr="001B6AD3">
              <w:rPr>
                <w:rFonts w:ascii="Calibri" w:eastAsia="Times New Roman" w:hAnsi="Calibri" w:cs="Times New Roman"/>
                <w:color w:val="000000"/>
                <w:lang w:eastAsia="en-GB"/>
              </w:rPr>
              <w:t xml:space="preserve"> viral oncogene homolog A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RELB</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v-</w:t>
            </w:r>
            <w:proofErr w:type="spellStart"/>
            <w:r w:rsidRPr="001B6AD3">
              <w:rPr>
                <w:rFonts w:ascii="Calibri" w:eastAsia="Times New Roman" w:hAnsi="Calibri" w:cs="Times New Roman"/>
                <w:color w:val="000000"/>
                <w:lang w:eastAsia="en-GB"/>
              </w:rPr>
              <w:t>rel</w:t>
            </w:r>
            <w:proofErr w:type="spellEnd"/>
            <w:r w:rsidRPr="001B6AD3">
              <w:rPr>
                <w:rFonts w:ascii="Calibri" w:eastAsia="Times New Roman" w:hAnsi="Calibri" w:cs="Times New Roman"/>
                <w:color w:val="000000"/>
                <w:lang w:eastAsia="en-GB"/>
              </w:rPr>
              <w:t xml:space="preserve"> avian </w:t>
            </w:r>
            <w:proofErr w:type="spellStart"/>
            <w:r w:rsidRPr="001B6AD3">
              <w:rPr>
                <w:rFonts w:ascii="Calibri" w:eastAsia="Times New Roman" w:hAnsi="Calibri" w:cs="Times New Roman"/>
                <w:color w:val="000000"/>
                <w:lang w:eastAsia="en-GB"/>
              </w:rPr>
              <w:t>reticuloendotheliosis</w:t>
            </w:r>
            <w:proofErr w:type="spellEnd"/>
            <w:r w:rsidRPr="001B6AD3">
              <w:rPr>
                <w:rFonts w:ascii="Calibri" w:eastAsia="Times New Roman" w:hAnsi="Calibri" w:cs="Times New Roman"/>
                <w:color w:val="000000"/>
                <w:lang w:eastAsia="en-GB"/>
              </w:rPr>
              <w:t xml:space="preserve"> viral oncogene homolog B</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RRAD</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Ras-related associated with diabetes</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RUNX1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runt related transcription factor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SERPINB1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serpin peptidase inhibitor, clade B (ovalbumin), member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SIRT2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sirtuin</w:t>
            </w:r>
            <w:proofErr w:type="spellEnd"/>
            <w:r w:rsidRPr="001B6AD3">
              <w:rPr>
                <w:rFonts w:ascii="Calibri" w:eastAsia="Times New Roman" w:hAnsi="Calibri" w:cs="Times New Roman"/>
                <w:color w:val="000000"/>
                <w:lang w:eastAsia="en-GB"/>
              </w:rPr>
              <w:t xml:space="preserve"> 2 </w:t>
            </w:r>
          </w:p>
        </w:tc>
      </w:tr>
      <w:tr w:rsidR="00AC6432" w:rsidRPr="001B6AD3" w:rsidTr="003B0F93">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SLC25A11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solute carrier family 25 (mitochondrial carrier; oxoglutarate carrier), member 11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SLC25A12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solute carrier family 25 (aspartate/glutamate carrier), member 12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SLC25A36</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solute carrier family 25 (pyrimidine nucleotide carrier), member 36</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SOAT1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sterol O-acyltransferase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SOD2</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superoxide dismutase 2, mitochondrial</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SORCS1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sortilin</w:t>
            </w:r>
            <w:proofErr w:type="spellEnd"/>
            <w:r w:rsidRPr="001B6AD3">
              <w:rPr>
                <w:rFonts w:ascii="Calibri" w:eastAsia="Times New Roman" w:hAnsi="Calibri" w:cs="Times New Roman"/>
                <w:color w:val="000000"/>
                <w:lang w:eastAsia="en-GB"/>
              </w:rPr>
              <w:t xml:space="preserve">-related </w:t>
            </w:r>
            <w:proofErr w:type="spellStart"/>
            <w:r w:rsidRPr="001B6AD3">
              <w:rPr>
                <w:rFonts w:ascii="Calibri" w:eastAsia="Times New Roman" w:hAnsi="Calibri" w:cs="Times New Roman"/>
                <w:color w:val="000000"/>
                <w:lang w:eastAsia="en-GB"/>
              </w:rPr>
              <w:t>VPS10</w:t>
            </w:r>
            <w:proofErr w:type="spellEnd"/>
            <w:r w:rsidRPr="001B6AD3">
              <w:rPr>
                <w:rFonts w:ascii="Calibri" w:eastAsia="Times New Roman" w:hAnsi="Calibri" w:cs="Times New Roman"/>
                <w:color w:val="000000"/>
                <w:lang w:eastAsia="en-GB"/>
              </w:rPr>
              <w:t xml:space="preserve"> domain containing receptor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SPAG7</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sperm associated antigen 7</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TIMP1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TIMP metallopeptidase inhibitor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TNFRSF11A</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tumor</w:t>
            </w:r>
            <w:proofErr w:type="spellEnd"/>
            <w:r w:rsidRPr="001B6AD3">
              <w:rPr>
                <w:rFonts w:ascii="Calibri" w:eastAsia="Times New Roman" w:hAnsi="Calibri" w:cs="Times New Roman"/>
                <w:color w:val="000000"/>
                <w:lang w:eastAsia="en-GB"/>
              </w:rPr>
              <w:t xml:space="preserve"> necrosis factor receptor superfamily, member 11a, NFKB activator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TP53</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proofErr w:type="spellStart"/>
            <w:r w:rsidRPr="001B6AD3">
              <w:rPr>
                <w:rFonts w:ascii="Calibri" w:eastAsia="Times New Roman" w:hAnsi="Calibri" w:cs="Times New Roman"/>
                <w:color w:val="000000"/>
                <w:lang w:eastAsia="en-GB"/>
              </w:rPr>
              <w:t>tumor</w:t>
            </w:r>
            <w:proofErr w:type="spellEnd"/>
            <w:r w:rsidRPr="001B6AD3">
              <w:rPr>
                <w:rFonts w:ascii="Calibri" w:eastAsia="Times New Roman" w:hAnsi="Calibri" w:cs="Times New Roman"/>
                <w:color w:val="000000"/>
                <w:lang w:eastAsia="en-GB"/>
              </w:rPr>
              <w:t xml:space="preserve"> protein </w:t>
            </w:r>
            <w:proofErr w:type="spellStart"/>
            <w:r w:rsidRPr="001B6AD3">
              <w:rPr>
                <w:rFonts w:ascii="Calibri" w:eastAsia="Times New Roman" w:hAnsi="Calibri" w:cs="Times New Roman"/>
                <w:color w:val="000000"/>
                <w:lang w:eastAsia="en-GB"/>
              </w:rPr>
              <w:t>p53</w:t>
            </w:r>
            <w:proofErr w:type="spellEnd"/>
            <w:r w:rsidRPr="001B6AD3">
              <w:rPr>
                <w:rFonts w:ascii="Calibri" w:eastAsia="Times New Roman" w:hAnsi="Calibri" w:cs="Times New Roman"/>
                <w:color w:val="000000"/>
                <w:lang w:eastAsia="en-GB"/>
              </w:rPr>
              <w:t xml:space="preserve"> </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TPM1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tropomyosin 1 (alpha)</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UCRC</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ubiquinol-cytochrome c reductase, complex III subunit X</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UQCRC1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ubiquinol-cytochrome c reductase core protein I</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UQCRFS1</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ubiquinol-cytochrome c reductase, </w:t>
            </w:r>
            <w:proofErr w:type="spellStart"/>
            <w:r w:rsidRPr="001B6AD3">
              <w:rPr>
                <w:rFonts w:ascii="Calibri" w:eastAsia="Times New Roman" w:hAnsi="Calibri" w:cs="Times New Roman"/>
                <w:color w:val="000000"/>
                <w:lang w:eastAsia="en-GB"/>
              </w:rPr>
              <w:t>Rieske</w:t>
            </w:r>
            <w:proofErr w:type="spellEnd"/>
            <w:r w:rsidRPr="001B6AD3">
              <w:rPr>
                <w:rFonts w:ascii="Calibri" w:eastAsia="Times New Roman" w:hAnsi="Calibri" w:cs="Times New Roman"/>
                <w:color w:val="000000"/>
                <w:lang w:eastAsia="en-GB"/>
              </w:rPr>
              <w:t xml:space="preserve"> iron-</w:t>
            </w:r>
            <w:proofErr w:type="spellStart"/>
            <w:r w:rsidRPr="001B6AD3">
              <w:rPr>
                <w:rFonts w:ascii="Calibri" w:eastAsia="Times New Roman" w:hAnsi="Calibri" w:cs="Times New Roman"/>
                <w:color w:val="000000"/>
                <w:lang w:eastAsia="en-GB"/>
              </w:rPr>
              <w:t>sulfur</w:t>
            </w:r>
            <w:proofErr w:type="spellEnd"/>
            <w:r w:rsidRPr="001B6AD3">
              <w:rPr>
                <w:rFonts w:ascii="Calibri" w:eastAsia="Times New Roman" w:hAnsi="Calibri" w:cs="Times New Roman"/>
                <w:color w:val="000000"/>
                <w:lang w:eastAsia="en-GB"/>
              </w:rPr>
              <w:t xml:space="preserve"> polypeptide 1</w:t>
            </w:r>
          </w:p>
        </w:tc>
      </w:tr>
      <w:tr w:rsidR="00AC6432" w:rsidRPr="001B6AD3" w:rsidTr="003B0F93">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VDAC3</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voltage-dependent anion channel 3</w:t>
            </w:r>
          </w:p>
        </w:tc>
      </w:tr>
      <w:tr w:rsidR="00AC6432" w:rsidRPr="001B6AD3" w:rsidTr="003B0F93">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YWHAZ</w:t>
            </w:r>
          </w:p>
        </w:tc>
        <w:tc>
          <w:tcPr>
            <w:tcW w:w="7087" w:type="dxa"/>
            <w:tcBorders>
              <w:top w:val="nil"/>
              <w:left w:val="nil"/>
              <w:bottom w:val="single" w:sz="4" w:space="0" w:color="auto"/>
              <w:right w:val="single" w:sz="4" w:space="0" w:color="auto"/>
            </w:tcBorders>
            <w:shd w:val="clear" w:color="auto" w:fill="auto"/>
            <w:vAlign w:val="bottom"/>
            <w:hideMark/>
          </w:tcPr>
          <w:p w:rsidR="00AC6432" w:rsidRPr="001B6AD3" w:rsidRDefault="00AC6432" w:rsidP="00AF1303">
            <w:pPr>
              <w:spacing w:after="0"/>
              <w:rPr>
                <w:rFonts w:ascii="Calibri" w:eastAsia="Times New Roman" w:hAnsi="Calibri" w:cs="Times New Roman"/>
                <w:color w:val="000000"/>
                <w:lang w:eastAsia="en-GB"/>
              </w:rPr>
            </w:pPr>
            <w:r w:rsidRPr="001B6AD3">
              <w:rPr>
                <w:rFonts w:ascii="Calibri" w:eastAsia="Times New Roman" w:hAnsi="Calibri" w:cs="Times New Roman"/>
                <w:color w:val="000000"/>
                <w:lang w:eastAsia="en-GB"/>
              </w:rPr>
              <w:t xml:space="preserve">tyrosine 3-monooxygenase/tryptophan 5-monooxygenase activation protein, zeta </w:t>
            </w:r>
          </w:p>
        </w:tc>
      </w:tr>
    </w:tbl>
    <w:p w:rsidR="00AC6432" w:rsidRDefault="00AC6432" w:rsidP="00AC6432">
      <w:pPr>
        <w:rPr>
          <w:b/>
        </w:rPr>
      </w:pPr>
    </w:p>
    <w:p w:rsidR="00AC6432" w:rsidRDefault="00AC6432" w:rsidP="00AC6432"/>
    <w:p w:rsidR="00AC6432" w:rsidRPr="00CC1989" w:rsidRDefault="00CC1989" w:rsidP="00AC6432">
      <w:pPr>
        <w:rPr>
          <w:b/>
        </w:rPr>
      </w:pPr>
      <w:r w:rsidRPr="00CC1989">
        <w:rPr>
          <w:b/>
        </w:rPr>
        <w:t>Results.</w:t>
      </w:r>
    </w:p>
    <w:p w:rsidR="00CC1989" w:rsidRDefault="00CC1989" w:rsidP="00AC6432">
      <w:r>
        <w:t xml:space="preserve">In order to further investigate the function of the 14 genes commonly regulated by both RE and NMES, targets and expression values were interrogated using </w:t>
      </w:r>
      <w:r w:rsidRPr="00CC1989">
        <w:t xml:space="preserve">Ingenuity Pathway Analysis (IPA; QIAGEN Redwood City, USA </w:t>
      </w:r>
      <w:hyperlink r:id="rId4" w:history="1">
        <w:r w:rsidRPr="00CC1989">
          <w:rPr>
            <w:rStyle w:val="Hyperlink"/>
          </w:rPr>
          <w:t>www.qiagen.com/ingenuity</w:t>
        </w:r>
      </w:hyperlink>
      <w:r w:rsidRPr="00CC1989">
        <w:t>).</w:t>
      </w:r>
      <w:r>
        <w:t xml:space="preserve"> </w:t>
      </w:r>
    </w:p>
    <w:p w:rsidR="00CC1989" w:rsidRDefault="00CC1989" w:rsidP="00AC6432">
      <w:r w:rsidRPr="003B3E38">
        <w:rPr>
          <w:noProof/>
          <w:lang w:eastAsia="en-GB"/>
        </w:rPr>
        <w:lastRenderedPageBreak/>
        <w:drawing>
          <wp:inline distT="0" distB="0" distL="0" distR="0" wp14:anchorId="39183A14" wp14:editId="7178F179">
            <wp:extent cx="4762500" cy="2743200"/>
            <wp:effectExtent l="0" t="0" r="0" b="0"/>
            <wp:docPr id="4" name="Picture 4" descr="Z:\NMES\Gene Expression Experiment\Results\Network Predictions From Despina (IPA)\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MES\Gene Expression Experiment\Results\Network Predictions From Despina (IPA)\Function.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1714" b="6000"/>
                    <a:stretch/>
                  </pic:blipFill>
                  <pic:spPr bwMode="auto">
                    <a:xfrm>
                      <a:off x="0" y="0"/>
                      <a:ext cx="4762500"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CC1989" w:rsidRDefault="00CC1989" w:rsidP="00AC6432">
      <w:r>
        <w:t>Figure S1. Probability of influence on the cellular function (</w:t>
      </w:r>
      <w:r w:rsidRPr="00CC1989">
        <w:rPr>
          <w:i/>
        </w:rPr>
        <w:t>Cell Death and Survival</w:t>
      </w:r>
      <w:r>
        <w:t>) identified by IPA.</w:t>
      </w:r>
    </w:p>
    <w:p w:rsidR="00CC1989" w:rsidRDefault="00CC1989" w:rsidP="00AC6432"/>
    <w:p w:rsidR="00CC1989" w:rsidRDefault="00CC1989" w:rsidP="00AC6432">
      <w:r w:rsidRPr="003B3E38">
        <w:rPr>
          <w:noProof/>
          <w:lang w:eastAsia="en-GB"/>
        </w:rPr>
        <w:drawing>
          <wp:inline distT="0" distB="0" distL="0" distR="0" wp14:anchorId="1143A053" wp14:editId="6A6A4845">
            <wp:extent cx="4580255" cy="3952875"/>
            <wp:effectExtent l="0" t="0" r="0" b="9525"/>
            <wp:docPr id="1" name="Picture 1" descr="Z:\NMES\Gene Expression Experiment\Results\Network Predictions From Despina (IPA)\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MES\Gene Expression Experiment\Results\Network Predictions From Despina (IPA)\Network.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950" b="2861"/>
                    <a:stretch/>
                  </pic:blipFill>
                  <pic:spPr bwMode="auto">
                    <a:xfrm>
                      <a:off x="0" y="0"/>
                      <a:ext cx="4581525" cy="3953971"/>
                    </a:xfrm>
                    <a:prstGeom prst="rect">
                      <a:avLst/>
                    </a:prstGeom>
                    <a:noFill/>
                    <a:ln>
                      <a:noFill/>
                    </a:ln>
                    <a:extLst>
                      <a:ext uri="{53640926-AAD7-44D8-BBD7-CCE9431645EC}">
                        <a14:shadowObscured xmlns:a14="http://schemas.microsoft.com/office/drawing/2010/main"/>
                      </a:ext>
                    </a:extLst>
                  </pic:spPr>
                </pic:pic>
              </a:graphicData>
            </a:graphic>
          </wp:inline>
        </w:drawing>
      </w:r>
    </w:p>
    <w:p w:rsidR="00CC1989" w:rsidRDefault="00CC1989" w:rsidP="00AC6432">
      <w:r>
        <w:t xml:space="preserve">Figure S2. Network of gene interactions within the </w:t>
      </w:r>
      <w:r w:rsidRPr="00CC1989">
        <w:rPr>
          <w:i/>
        </w:rPr>
        <w:t>Cell Death and Survival</w:t>
      </w:r>
      <w:r>
        <w:t xml:space="preserve"> function. Targets coloured pink were significantly changed in abundance following both RE and NMES.</w:t>
      </w:r>
    </w:p>
    <w:p w:rsidR="000D518E" w:rsidRDefault="000D518E">
      <w:pPr>
        <w:spacing w:after="160" w:line="259" w:lineRule="auto"/>
      </w:pPr>
      <w:r>
        <w:br w:type="page"/>
      </w:r>
    </w:p>
    <w:p w:rsidR="000D518E" w:rsidRDefault="000D518E" w:rsidP="000D518E">
      <w:r w:rsidRPr="00E34254">
        <w:rPr>
          <w:b/>
        </w:rPr>
        <w:lastRenderedPageBreak/>
        <w:t>Table S2.</w:t>
      </w:r>
      <w:r>
        <w:t xml:space="preserve"> </w:t>
      </w:r>
      <w:r w:rsidRPr="0081098B">
        <w:t>Mean Fold Change (2^-</w:t>
      </w:r>
      <w:proofErr w:type="spellStart"/>
      <w:r w:rsidRPr="0081098B">
        <w:t>DDCt</w:t>
      </w:r>
      <w:proofErr w:type="spellEnd"/>
      <w:r w:rsidRPr="0081098B">
        <w:t>) between baseline and sample obtained 24 h after either resistance exercise (RE) or transcutaneous neuromuscular electrical stimulation (NMES).</w:t>
      </w:r>
    </w:p>
    <w:p w:rsidR="000D518E" w:rsidRDefault="000D518E" w:rsidP="000D518E"/>
    <w:tbl>
      <w:tblPr>
        <w:tblW w:w="3769" w:type="dxa"/>
        <w:tblLook w:val="04A0" w:firstRow="1" w:lastRow="0" w:firstColumn="1" w:lastColumn="0" w:noHBand="0" w:noVBand="1"/>
      </w:tblPr>
      <w:tblGrid>
        <w:gridCol w:w="2351"/>
        <w:gridCol w:w="1418"/>
      </w:tblGrid>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b/>
                <w:bCs/>
                <w:lang w:eastAsia="en-GB"/>
              </w:rPr>
            </w:pPr>
            <w:r w:rsidRPr="0081098B">
              <w:rPr>
                <w:rFonts w:ascii="Calibri" w:eastAsia="Times New Roman" w:hAnsi="Calibri" w:cs="Times New Roman"/>
                <w:b/>
                <w:bCs/>
                <w:lang w:eastAsia="en-GB"/>
              </w:rPr>
              <w:t>RE</w:t>
            </w:r>
          </w:p>
        </w:tc>
        <w:tc>
          <w:tcPr>
            <w:tcW w:w="1418" w:type="dxa"/>
            <w:tcBorders>
              <w:top w:val="nil"/>
              <w:left w:val="nil"/>
              <w:bottom w:val="nil"/>
              <w:right w:val="nil"/>
            </w:tcBorders>
            <w:shd w:val="clear" w:color="auto" w:fill="auto"/>
            <w:vAlign w:val="bottom"/>
            <w:hideMark/>
          </w:tcPr>
          <w:p w:rsidR="000D518E" w:rsidRPr="0081098B" w:rsidRDefault="000D518E" w:rsidP="00CB4E64">
            <w:pPr>
              <w:spacing w:after="0" w:line="240" w:lineRule="auto"/>
              <w:rPr>
                <w:rFonts w:ascii="Calibri" w:eastAsia="Times New Roman" w:hAnsi="Calibri" w:cs="Times New Roman"/>
                <w:b/>
                <w:bCs/>
                <w:lang w:eastAsia="en-GB"/>
              </w:rPr>
            </w:pPr>
          </w:p>
        </w:tc>
      </w:tr>
      <w:tr w:rsidR="000D518E" w:rsidRPr="0081098B" w:rsidTr="00CB4E64">
        <w:trPr>
          <w:trHeight w:val="300"/>
        </w:trPr>
        <w:tc>
          <w:tcPr>
            <w:tcW w:w="2351" w:type="dxa"/>
            <w:tcBorders>
              <w:top w:val="nil"/>
              <w:left w:val="nil"/>
              <w:bottom w:val="nil"/>
              <w:right w:val="nil"/>
            </w:tcBorders>
            <w:shd w:val="clear" w:color="auto" w:fill="auto"/>
            <w:vAlign w:val="bottom"/>
            <w:hideMark/>
          </w:tcPr>
          <w:p w:rsidR="000D518E" w:rsidRPr="0081098B" w:rsidRDefault="000D518E" w:rsidP="00CB4E64">
            <w:pPr>
              <w:spacing w:after="0" w:line="240" w:lineRule="auto"/>
              <w:rPr>
                <w:rFonts w:ascii="Calibri" w:eastAsia="Times New Roman" w:hAnsi="Calibri" w:cs="Times New Roman"/>
                <w:b/>
                <w:bCs/>
                <w:lang w:eastAsia="en-GB"/>
              </w:rPr>
            </w:pPr>
            <w:r w:rsidRPr="0081098B">
              <w:rPr>
                <w:rFonts w:ascii="Calibri" w:eastAsia="Times New Roman" w:hAnsi="Calibri" w:cs="Times New Roman"/>
                <w:b/>
                <w:bCs/>
                <w:lang w:eastAsia="en-GB"/>
              </w:rPr>
              <w:t>Gene</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b/>
                <w:bCs/>
                <w:lang w:eastAsia="en-GB"/>
              </w:rPr>
            </w:pPr>
            <w:r w:rsidRPr="0081098B">
              <w:rPr>
                <w:rFonts w:ascii="Calibri" w:eastAsia="Times New Roman" w:hAnsi="Calibri" w:cs="Times New Roman"/>
                <w:b/>
                <w:bCs/>
                <w:lang w:eastAsia="en-GB"/>
              </w:rPr>
              <w:t>Mean 2^-DD Ct</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b/>
                <w:bCs/>
                <w:lang w:eastAsia="en-GB"/>
              </w:rPr>
            </w:pP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Times New Roman" w:eastAsia="Times New Roman" w:hAnsi="Times New Roman" w:cs="Times New Roman"/>
                <w:sz w:val="20"/>
                <w:szCs w:val="20"/>
                <w:lang w:eastAsia="en-GB"/>
              </w:rPr>
            </w:pP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NFKBIA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RELA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1.95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TP53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2.40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MYC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11.55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CFLAR</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E2F1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ACTN3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6.16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SLC25A4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DAXX</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DECR1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FLNC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HSPB2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IL18</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ACAA1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APOA2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APOC1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BPGM</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CAST</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DCI</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FLII</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GLP1R</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0.09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GOT1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GPX4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KCNN3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2.44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KCNN4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6.13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LAMB1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MN1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MYOD1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NDUFB5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NDUFS8</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PGM1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PSMB10</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PSMD3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PTPN3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ST3GAL1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SOAT1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2.51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TFR2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lastRenderedPageBreak/>
              <w:t>UQCRC1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ASPA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GAMT</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NCF1C;NCF1;NCF1B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2.51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PGAM2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TPM1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PCCB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RYR1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SOD2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3.62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ACACA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HPGD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ITGB6</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LTC4S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INSR</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CDH13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DPT</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FOS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8.72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CCL22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4.71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CCNG1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CCNG2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CCL19</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21.65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TIMP1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MRAS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1.97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MGMT</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ENDOG</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BRCA1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ANKRD1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8.77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IL10</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17.10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IL1A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TNF</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4.43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IL6</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51.26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ITGA7</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NFKB2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AK1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CDKN2C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CKMT2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PDK2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PDK4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2.73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PI4KAP2;PI4KA;PI4KAP1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MAP2K3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SQSTM1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AKT1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IRS1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MAP3K12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FASTK</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11.90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CHRNE</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lastRenderedPageBreak/>
              <w:t>FASLG</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1.90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CHRNB1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CHRND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2.71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MGST2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SRF</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ATP5D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IRF7</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0.16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MFAP5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ACOX2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SLC25A11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SLC25A12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TNFRSF11A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5.01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CES2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2.47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MYOM2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EIF2S1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RRAD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11.29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SDHA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BAD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38.13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CLCN2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CHKB;CPT1B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CTSH</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FHL3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NDUFA10</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NDUFS3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POLR1C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SPAG7</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MYBPH</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5.29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NDUFS1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RPL3L</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GNG7</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COX6A2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MSTN</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0.39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GRB10</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MAF</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PDLIM7</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ARPC4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PPIF</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FARP1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MDH1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S100A13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CCT3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AKR1A1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PECI</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GMPR</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UPK3A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ADRM1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lastRenderedPageBreak/>
              <w:t>RPP14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NDUFV1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CSDE1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ADAT1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CA14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GRHPR</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MORF4L2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1.96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ICMT</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3.17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MYLPF</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UCRC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OSTM1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BZW2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PKD2L2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ZNF330</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CDC42BPA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RASGRP3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NPDC1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GSTK1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CYLD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MRPS33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BRP44L</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PPME1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HP1BP3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SLC25A36</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ZC3H15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ZMAT5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TNXB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NT5M</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ANK1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2.37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NDUFV2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XRCC5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RRAGD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FADS3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3.36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SIGIRR</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UCP1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TSPYL2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2.34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GNB1L</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UBE2Z</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PSTPIP2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CARS2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VCPIP1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SERPINB1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13.35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Arial" w:eastAsia="Times New Roman" w:hAnsi="Arial" w:cs="Arial"/>
                <w:sz w:val="20"/>
                <w:szCs w:val="20"/>
                <w:lang w:eastAsia="en-GB"/>
              </w:rPr>
            </w:pPr>
            <w:r w:rsidRPr="0081098B">
              <w:rPr>
                <w:rFonts w:ascii="Arial" w:eastAsia="Times New Roman" w:hAnsi="Arial" w:cs="Arial"/>
                <w:sz w:val="20"/>
                <w:szCs w:val="20"/>
                <w:lang w:eastAsia="en-GB"/>
              </w:rPr>
              <w:t>MRPS15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RUNX1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12.59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LMO1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MEF2C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lastRenderedPageBreak/>
              <w:t>MYOG</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SMARCA4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CNBP</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RUNX3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2.39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CREB1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PPARA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RELB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4.36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IL12B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PLA2G4C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MMP2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DAPK1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3.52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FRAP1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YWHAZ</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3.01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ACTN1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2.33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ANXA6</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Arial" w:eastAsia="Times New Roman" w:hAnsi="Arial" w:cs="Arial"/>
                <w:sz w:val="20"/>
                <w:szCs w:val="20"/>
                <w:lang w:eastAsia="en-GB"/>
              </w:rPr>
            </w:pPr>
            <w:r w:rsidRPr="0081098B">
              <w:rPr>
                <w:rFonts w:ascii="Arial" w:eastAsia="Times New Roman" w:hAnsi="Arial" w:cs="Arial"/>
                <w:sz w:val="20"/>
                <w:szCs w:val="20"/>
                <w:lang w:eastAsia="en-GB"/>
              </w:rPr>
              <w:t>AQP4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0.42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Arial" w:eastAsia="Times New Roman" w:hAnsi="Arial" w:cs="Arial"/>
                <w:sz w:val="20"/>
                <w:szCs w:val="20"/>
                <w:lang w:eastAsia="en-GB"/>
              </w:rPr>
            </w:pPr>
            <w:r w:rsidRPr="0081098B">
              <w:rPr>
                <w:rFonts w:ascii="Arial" w:eastAsia="Times New Roman" w:hAnsi="Arial" w:cs="Arial"/>
                <w:sz w:val="20"/>
                <w:szCs w:val="20"/>
                <w:lang w:eastAsia="en-GB"/>
              </w:rPr>
              <w:t>CBFB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2.60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MRPL12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DYSF</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4.18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ACCN3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NDUFA9</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NPY6R</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SIRT2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TOR1B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EIF2B4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ABR</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2.87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EIF4H</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3.14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GNRHR2;RBM8A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OLFM1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FARS2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RABL2A;RABL2B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WBP11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NDUFS7</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SLC37A4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TRIM63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2.56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MYL3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DNAJA1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ATP5G3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COX6B1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PRKAR1A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SMARCC1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TBCC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TNNI2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PKP4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IDH1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PRMT5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lastRenderedPageBreak/>
              <w:t>CCT4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MRCL3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ATP5I</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DNAJB5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RPS27L</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TPRKB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GSK3B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SIVA1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CCND1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CD38</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JUN</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C22orf9</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LGALS1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INS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ALDH2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SFN</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HSPB1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CYC1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FNTA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NOL3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SLC16A3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DEXI</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SORCS1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MYL1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Arial" w:eastAsia="Times New Roman" w:hAnsi="Arial" w:cs="Arial"/>
                <w:sz w:val="20"/>
                <w:szCs w:val="20"/>
                <w:lang w:eastAsia="en-GB"/>
              </w:rPr>
            </w:pPr>
            <w:r w:rsidRPr="0081098B">
              <w:rPr>
                <w:rFonts w:ascii="Arial" w:eastAsia="Times New Roman" w:hAnsi="Arial" w:cs="Arial"/>
                <w:sz w:val="20"/>
                <w:szCs w:val="20"/>
                <w:lang w:eastAsia="en-GB"/>
              </w:rPr>
              <w:t>TCAP</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VDAC3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ARS2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PACSIN3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FBXO32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COX7B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GLRX2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SYNGR1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CTSL1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5.35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TBC1D22A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KIAA0368</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DYNC1H1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CTNNA3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PREPL</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OSBP</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PSME1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LRP4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CCPG1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IKBKB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LIAS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MFAP4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AKR1C2;AKR1C1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lastRenderedPageBreak/>
              <w:t>CDC2L1;CDC2L2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CALCOCO2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ADK</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CLIP1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ACO2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CTSL2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ATP5O</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COX5B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PSMB1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PSMD7</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SFRS2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6.11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FBP2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Arial" w:eastAsia="Times New Roman" w:hAnsi="Arial" w:cs="Arial"/>
                <w:sz w:val="20"/>
                <w:szCs w:val="20"/>
                <w:lang w:eastAsia="en-GB"/>
              </w:rPr>
            </w:pPr>
            <w:r w:rsidRPr="0081098B">
              <w:rPr>
                <w:rFonts w:ascii="Arial" w:eastAsia="Times New Roman" w:hAnsi="Arial" w:cs="Arial"/>
                <w:sz w:val="20"/>
                <w:szCs w:val="20"/>
                <w:lang w:eastAsia="en-GB"/>
              </w:rPr>
              <w:t>NDUFB8</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RTN3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12.97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MAN2C1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TXN2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ARTS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P2RX5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4.20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MARS2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FADD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2.59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CAPN3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ACTA1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ANXA7</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UQCRB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CHAF1B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PRDX1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PPARD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2.48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PPP2R4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GPSN2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ALDOA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RPL38</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EIF4EBP1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CDK2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3.08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CYBA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HMBS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CHI3L1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59.28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AARS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KALRN</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DLG5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2.32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MLL</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UQCRFS1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TOX4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CCR10</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CDK2AP2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2.26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ANP32B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NAP1L1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lastRenderedPageBreak/>
              <w:t>PRPS1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MYH4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3.60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PKM2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NFKB1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EIF3K</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FOXO3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NSFL1C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ZFAND5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ATP5G1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EIF2S2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PLA2G12A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MKRN1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SYNGR2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LDHA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POLRMT</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2.90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GPC1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CLCN1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LARGE</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GBP2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DLAT</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MAPT</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ATF4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SOCS2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2.44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SVIL</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MDH2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CTSB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ADARB1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REL</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DUSP13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ATP5B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COX4I1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GPI</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AMPD3</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2.92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PYGM</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BCHE</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0.45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UQCRC2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0.76</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VCP</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COL4A1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2.47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PMVK</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2.33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CASP10</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KCNN2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HSPA1B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FOXO1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IKBKE</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3.82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RXRA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HRASLS</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lastRenderedPageBreak/>
              <w:t>ETFB</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ATP2B2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0.38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RUVBL2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ATP2A1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RFX2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DGKD</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2.69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FANCA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5.81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TRIB2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PSAP</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1.01</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DBI</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PXMP4</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TPI1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COX7C</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1.68</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LOC654007;EEF1G</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PSME2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1.94</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CDC2L2</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2.15</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HSPA5</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3.17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PPIA</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3.87</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HPRT1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1.80</w:t>
            </w:r>
          </w:p>
        </w:tc>
      </w:tr>
      <w:tr w:rsidR="000D518E" w:rsidRPr="0081098B" w:rsidTr="00CB4E64">
        <w:trPr>
          <w:trHeight w:val="300"/>
        </w:trPr>
        <w:tc>
          <w:tcPr>
            <w:tcW w:w="2351"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center"/>
              <w:rPr>
                <w:rFonts w:ascii="Calibri" w:eastAsia="Times New Roman" w:hAnsi="Calibri" w:cs="Times New Roman"/>
                <w:lang w:eastAsia="en-GB"/>
              </w:rPr>
            </w:pPr>
            <w:r w:rsidRPr="0081098B">
              <w:rPr>
                <w:rFonts w:ascii="Calibri" w:eastAsia="Times New Roman" w:hAnsi="Calibri" w:cs="Times New Roman"/>
                <w:lang w:eastAsia="en-GB"/>
              </w:rPr>
              <w:t>TGFB1</w:t>
            </w:r>
          </w:p>
        </w:tc>
        <w:tc>
          <w:tcPr>
            <w:tcW w:w="1418"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1.76</w:t>
            </w:r>
          </w:p>
        </w:tc>
      </w:tr>
    </w:tbl>
    <w:p w:rsidR="000D518E" w:rsidRDefault="000D518E" w:rsidP="000D518E"/>
    <w:p w:rsidR="000D518E" w:rsidRDefault="000D518E" w:rsidP="000D518E"/>
    <w:tbl>
      <w:tblPr>
        <w:tblW w:w="4838" w:type="dxa"/>
        <w:tblLook w:val="04A0" w:firstRow="1" w:lastRow="0" w:firstColumn="1" w:lastColumn="0" w:noHBand="0" w:noVBand="1"/>
      </w:tblPr>
      <w:tblGrid>
        <w:gridCol w:w="2351"/>
        <w:gridCol w:w="2673"/>
      </w:tblGrid>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b/>
                <w:bCs/>
                <w:lang w:eastAsia="en-GB"/>
              </w:rPr>
            </w:pPr>
            <w:r w:rsidRPr="0081098B">
              <w:rPr>
                <w:rFonts w:ascii="Calibri" w:eastAsia="Times New Roman" w:hAnsi="Calibri" w:cs="Times New Roman"/>
                <w:b/>
                <w:bCs/>
                <w:lang w:eastAsia="en-GB"/>
              </w:rPr>
              <w:t>NMES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b/>
                <w:bCs/>
                <w:lang w:eastAsia="en-GB"/>
              </w:rPr>
            </w:pP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b/>
                <w:bCs/>
                <w:lang w:eastAsia="en-GB"/>
              </w:rPr>
            </w:pPr>
            <w:r w:rsidRPr="0081098B">
              <w:rPr>
                <w:rFonts w:ascii="Calibri" w:eastAsia="Times New Roman" w:hAnsi="Calibri" w:cs="Times New Roman"/>
                <w:b/>
                <w:bCs/>
                <w:lang w:eastAsia="en-GB"/>
              </w:rPr>
              <w:t>Detector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b/>
                <w:bCs/>
                <w:lang w:eastAsia="en-GB"/>
              </w:rPr>
            </w:pPr>
            <w:r w:rsidRPr="0081098B">
              <w:rPr>
                <w:rFonts w:ascii="Calibri" w:eastAsia="Times New Roman" w:hAnsi="Calibri" w:cs="Times New Roman"/>
                <w:b/>
                <w:bCs/>
                <w:lang w:eastAsia="en-GB"/>
              </w:rPr>
              <w:t>Mean Fold Change (2^-</w:t>
            </w:r>
            <w:proofErr w:type="spellStart"/>
            <w:r w:rsidRPr="0081098B">
              <w:rPr>
                <w:rFonts w:ascii="Calibri" w:eastAsia="Times New Roman" w:hAnsi="Calibri" w:cs="Times New Roman"/>
                <w:b/>
                <w:bCs/>
                <w:lang w:eastAsia="en-GB"/>
              </w:rPr>
              <w:t>DDCt</w:t>
            </w:r>
            <w:proofErr w:type="spellEnd"/>
            <w:r w:rsidRPr="0081098B">
              <w:rPr>
                <w:rFonts w:ascii="Calibri" w:eastAsia="Times New Roman" w:hAnsi="Calibri" w:cs="Times New Roman"/>
                <w:b/>
                <w:bCs/>
                <w:lang w:eastAsia="en-GB"/>
              </w:rPr>
              <w:t>)</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b/>
                <w:bCs/>
                <w:lang w:eastAsia="en-GB"/>
              </w:rPr>
            </w:pP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Times New Roman" w:eastAsia="Times New Roman" w:hAnsi="Times New Roman" w:cs="Times New Roman"/>
                <w:sz w:val="20"/>
                <w:szCs w:val="20"/>
                <w:lang w:eastAsia="en-GB"/>
              </w:rPr>
            </w:pP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NFKBIA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RELA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3.13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TP53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4.42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10.35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CFLAR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E2F1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ACTN3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SLC25A4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DAXX</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DECR1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18S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18S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FLNC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2.65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HSPB2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IL18</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ACAA1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APOA2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APOC1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BPGM</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lastRenderedPageBreak/>
              <w:t>CAST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1.99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ECI1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FLII</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GLP1R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GOT1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GPX4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KCNN3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KCNN4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4.00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LAMB1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MN1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0.43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MYOD1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NDUFB5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NDUFS8</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PGM1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18S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18S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PSMB10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PSMD3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PTPN3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ST3GAL1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SOAT1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3.05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TFR2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UQCRC1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ASPA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GAMT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NCF1C;NCF1B;NCF1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PGAM2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TPM1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PCCB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RYR1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SERPINE1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15.74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SOD2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3.64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ACACA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2.55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HPGD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ITGB6</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LTC4S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0.46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INSR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CDH13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DPT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FOS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17.63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CCL22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12.94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CCNG1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CCNG2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CCL19</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9.76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TIMP1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16.67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lastRenderedPageBreak/>
              <w:t>MRAS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2.60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MGMT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ENDOG</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BRCA1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ANKRD1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7.22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IL10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5.20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IL1A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TNF</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3.01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IL6</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25.79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ITGA7</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NFKB2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2.54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AK1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CDKN2C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CKMT2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PDK2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PDK4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3.12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PI4KA;PI4KAP1;PI4KAP2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MAP2K3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SQSTM1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AKT1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IRS1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MAP3K12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FASTK</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CHRNE</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FASLG</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2.29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CHRNB1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CHRND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4.13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MGST2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SRF</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ATP5D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IRF7</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MFAP5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ACOX2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SLC25A11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SLC25A12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TNFRSF11A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5.92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CES2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4.91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MYOM2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EIF2S1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RRAD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SDHA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BAD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CLCN2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CPT1B;CHKB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CTSH</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FHL3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lastRenderedPageBreak/>
              <w:t>NDUFA10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NDUFS3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POLR1C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2.70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SPAG7</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MYBPH</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NDUFS1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RPL3L</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GNG7</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COX6A2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MSTN</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GRB10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MAF</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PDLIM7</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ARPC4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PPIF</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FARP1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MDH1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S100A13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CCT3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AKR1A1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ECI2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GMPR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UPK3A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ADRM1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RPP14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NDUFV1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CSDE1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ADAT1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CA14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GRHPR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MORF4L2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3.97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ICMT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3.36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MYLPF</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UQCR10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OSTM1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BZW2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PKD2L2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ZNF330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CDC42BPA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RASGRP3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NPDC1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4.29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GSTK1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CYLD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MRPS33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MPC1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PPME1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lastRenderedPageBreak/>
              <w:t>HP1BP3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SLC25A36</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ZC3H15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1.90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ZMAT5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 xml:space="preserve"> </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NT5M</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ANK1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NDUFV2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XRCC5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RRAGD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FADS3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3.68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SIGIRR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UCP1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TSPYL2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GNB1L</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UBE2Z</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PSTPIP2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CARS2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VCPIP1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2.20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MRPS15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RUNX1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15.74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LMO1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MEF2C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MYOG</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SMARCA4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2.21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CNBP</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RUNX3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3.49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CREB1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PPARA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RELB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IL12B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PLA2G4C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MMP2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DAPK1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MTOR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YWHAZ</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5.03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ACTN1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ANXA6</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AQP4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0.42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CBFB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2.77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MRPL12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DYSF</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6.19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ASIC3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NDUFA9</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NPY6R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SIRT2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2.89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lastRenderedPageBreak/>
              <w:t>TOR1B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EIF2B4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ABR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EIF4H</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3.21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GNRHR2;RBM8A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OLFM1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FARS2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RABL2B;RABL2A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WBP11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NDUFS7</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SLC37A4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TRIM63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2.88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MYL3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DNAJA1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ATP5G3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COX6B1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PRKAR1A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SMARCC1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TBCC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TNNI2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PKP4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IDH1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PRMT5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CCT4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MYL12A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ATP5I</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DNAJB5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4.09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TPRKB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GSK3B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SIVA1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CCND1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CD38</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JUN</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KIAA0930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LGALS1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INS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ALDH2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 xml:space="preserve"> </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HSPB1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CYC1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FNTA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NOL3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SLC16A3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DEXI</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SORCS1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MYL1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lastRenderedPageBreak/>
              <w:t>TCAP</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VDAC3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SRRT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2.22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PACSIN3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FBXO32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COX7B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GLRX2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SYNGR1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CTSL</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5.23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TBC1D22A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KIAA0368</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DYNC1H1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CTNNA3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PREPL</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OSBP</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PSME1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LRP4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DYX1C1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IKBKB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LIAS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MFAP4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AKR1C2;AKR1C1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CDK11B;CDK11A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CALCOCO2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ADK</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CLIP1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ACO2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CTSV</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ATP5O</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COX5B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PSMB1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PSMD7</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SRSF2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2.27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FBP2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NDUFB8</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RTN3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MAN2C1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TXN2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ERAP1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P2RX5;P2RX5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4.94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MARS2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FADD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CAPN3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ACTA1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ANXA7</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UQCRB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lastRenderedPageBreak/>
              <w:t>CHAF1B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PRDX1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PPARD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2.29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PPP2R4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TECR</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ALDOA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RPL38</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EIF4EBP1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CDK2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3.19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CYBA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HMBS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CHI3L1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84.44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AARS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KALRN</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DLG5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2.65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KMT2A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UQCRFS1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TOX4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CCR10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CDK2AP2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2.71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ANP32B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NAP1L1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PRPS1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MYH4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PKM</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NFKB1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EIF3K</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FOXO3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NSFL1C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ZFAND5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2.24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ATP5G1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EIF2S2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Undetected</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PLA2G12A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MKRN1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SYNGR2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1.77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LDHA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1.66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POLRMT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GPC1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CLCN1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LARGE</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GBP2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1.91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DLAT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MAPT</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ATF4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SOCS2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2.15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SVIL</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lastRenderedPageBreak/>
              <w:t>MDH2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CTSB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3.26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ADARB1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REL</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DUSP13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ATP5B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COX4I1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GPI</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AMPD3</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5.57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PYGM</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BCHE</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0.69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UQCRC2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VCP</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1.40</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COL4A1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2.41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PMVK</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CASP10</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1.11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KCNN2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HSPA1B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2.33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FOXO1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IKBKE</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2.08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RXRA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HRASLS</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ETFB</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ATP2B2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0.37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RUVBL2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1.57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ATP2A1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0.51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RFX2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1.28</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DGKD</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3.06</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FANCA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3.49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TRIB2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PSAP</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1.03</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DBI</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PXMP4</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0.75</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TPI1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0.84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COX7C</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RPL12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1.27</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EEF1G</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0.92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PSME2</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1.34</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CDK11B;CDK11A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1.39</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HSPA5</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3.72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PPIA</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4.11</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HPRT1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2.62</w:t>
            </w:r>
          </w:p>
        </w:tc>
      </w:tr>
      <w:tr w:rsidR="000D518E" w:rsidRPr="0081098B" w:rsidTr="00CB4E64">
        <w:trPr>
          <w:trHeight w:val="300"/>
        </w:trPr>
        <w:tc>
          <w:tcPr>
            <w:tcW w:w="2165"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rPr>
                <w:rFonts w:ascii="Calibri" w:eastAsia="Times New Roman" w:hAnsi="Calibri" w:cs="Times New Roman"/>
                <w:lang w:eastAsia="en-GB"/>
              </w:rPr>
            </w:pPr>
            <w:r w:rsidRPr="0081098B">
              <w:rPr>
                <w:rFonts w:ascii="Calibri" w:eastAsia="Times New Roman" w:hAnsi="Calibri" w:cs="Times New Roman"/>
                <w:lang w:eastAsia="en-GB"/>
              </w:rPr>
              <w:t>TGFB1</w:t>
            </w:r>
          </w:p>
        </w:tc>
        <w:tc>
          <w:tcPr>
            <w:tcW w:w="2673" w:type="dxa"/>
            <w:tcBorders>
              <w:top w:val="nil"/>
              <w:left w:val="nil"/>
              <w:bottom w:val="nil"/>
              <w:right w:val="nil"/>
            </w:tcBorders>
            <w:shd w:val="clear" w:color="auto" w:fill="auto"/>
            <w:noWrap/>
            <w:vAlign w:val="bottom"/>
            <w:hideMark/>
          </w:tcPr>
          <w:p w:rsidR="000D518E" w:rsidRPr="0081098B" w:rsidRDefault="000D518E" w:rsidP="00CB4E64">
            <w:pPr>
              <w:spacing w:after="0" w:line="240" w:lineRule="auto"/>
              <w:jc w:val="right"/>
              <w:rPr>
                <w:rFonts w:ascii="Calibri" w:eastAsia="Times New Roman" w:hAnsi="Calibri" w:cs="Times New Roman"/>
                <w:lang w:eastAsia="en-GB"/>
              </w:rPr>
            </w:pPr>
            <w:r w:rsidRPr="0081098B">
              <w:rPr>
                <w:rFonts w:ascii="Calibri" w:eastAsia="Times New Roman" w:hAnsi="Calibri" w:cs="Times New Roman"/>
                <w:lang w:eastAsia="en-GB"/>
              </w:rPr>
              <w:t>2.59</w:t>
            </w:r>
          </w:p>
        </w:tc>
      </w:tr>
    </w:tbl>
    <w:p w:rsidR="000D518E" w:rsidRDefault="000D518E" w:rsidP="000D518E"/>
    <w:p w:rsidR="00604DAF" w:rsidRDefault="00E34254"/>
    <w:sectPr w:rsidR="00604DAF" w:rsidSect="00B101A0">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32"/>
    <w:rsid w:val="0007454F"/>
    <w:rsid w:val="000D518E"/>
    <w:rsid w:val="00147CAA"/>
    <w:rsid w:val="00392D0C"/>
    <w:rsid w:val="00454ED9"/>
    <w:rsid w:val="005211E3"/>
    <w:rsid w:val="005E3402"/>
    <w:rsid w:val="007376E2"/>
    <w:rsid w:val="007652E0"/>
    <w:rsid w:val="007A76C6"/>
    <w:rsid w:val="008B2320"/>
    <w:rsid w:val="009450F5"/>
    <w:rsid w:val="00AC6432"/>
    <w:rsid w:val="00AF1303"/>
    <w:rsid w:val="00B101A0"/>
    <w:rsid w:val="00B91154"/>
    <w:rsid w:val="00CC1989"/>
    <w:rsid w:val="00D25F1C"/>
    <w:rsid w:val="00E34254"/>
    <w:rsid w:val="00E522AD"/>
    <w:rsid w:val="00E97D31"/>
    <w:rsid w:val="00EF058A"/>
    <w:rsid w:val="00FD2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C6DF"/>
  <w15:chartTrackingRefBased/>
  <w15:docId w15:val="{D388467E-3537-4E72-9282-B21483E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058A"/>
    <w:rPr>
      <w:sz w:val="16"/>
      <w:szCs w:val="16"/>
    </w:rPr>
  </w:style>
  <w:style w:type="paragraph" w:styleId="CommentText">
    <w:name w:val="annotation text"/>
    <w:basedOn w:val="Normal"/>
    <w:link w:val="CommentTextChar"/>
    <w:uiPriority w:val="99"/>
    <w:semiHidden/>
    <w:unhideWhenUsed/>
    <w:rsid w:val="00EF058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F058A"/>
    <w:rPr>
      <w:sz w:val="20"/>
      <w:szCs w:val="20"/>
    </w:rPr>
  </w:style>
  <w:style w:type="paragraph" w:styleId="BalloonText">
    <w:name w:val="Balloon Text"/>
    <w:basedOn w:val="Normal"/>
    <w:link w:val="BalloonTextChar"/>
    <w:uiPriority w:val="99"/>
    <w:semiHidden/>
    <w:unhideWhenUsed/>
    <w:rsid w:val="00EF0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8A"/>
    <w:rPr>
      <w:rFonts w:ascii="Segoe UI" w:hAnsi="Segoe UI" w:cs="Segoe UI"/>
      <w:sz w:val="18"/>
      <w:szCs w:val="18"/>
    </w:rPr>
  </w:style>
  <w:style w:type="character" w:styleId="LineNumber">
    <w:name w:val="line number"/>
    <w:basedOn w:val="DefaultParagraphFont"/>
    <w:uiPriority w:val="99"/>
    <w:semiHidden/>
    <w:unhideWhenUsed/>
    <w:rsid w:val="00B101A0"/>
  </w:style>
  <w:style w:type="character" w:styleId="Hyperlink">
    <w:name w:val="Hyperlink"/>
    <w:basedOn w:val="DefaultParagraphFont"/>
    <w:uiPriority w:val="99"/>
    <w:unhideWhenUsed/>
    <w:rsid w:val="00CC1989"/>
    <w:rPr>
      <w:color w:val="0563C1" w:themeColor="hyperlink"/>
      <w:u w:val="single"/>
    </w:rPr>
  </w:style>
  <w:style w:type="character" w:styleId="FollowedHyperlink">
    <w:name w:val="FollowedHyperlink"/>
    <w:basedOn w:val="DefaultParagraphFont"/>
    <w:uiPriority w:val="99"/>
    <w:semiHidden/>
    <w:unhideWhenUsed/>
    <w:rsid w:val="000D518E"/>
    <w:rPr>
      <w:color w:val="954F72"/>
      <w:u w:val="single"/>
    </w:rPr>
  </w:style>
  <w:style w:type="paragraph" w:customStyle="1" w:styleId="xl63">
    <w:name w:val="xl63"/>
    <w:basedOn w:val="Normal"/>
    <w:rsid w:val="000D5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0D51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Normal"/>
    <w:rsid w:val="000D51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0D51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0D5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0D518E"/>
    <w:pPr>
      <w:spacing w:before="100" w:beforeAutospacing="1" w:after="100" w:afterAutospacing="1" w:line="240" w:lineRule="auto"/>
      <w:jc w:val="center"/>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qiagen.com/ingen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 Lorna E.</dc:creator>
  <cp:keywords/>
  <dc:description/>
  <cp:lastModifiedBy>Mel Phimester</cp:lastModifiedBy>
  <cp:revision>2</cp:revision>
  <dcterms:created xsi:type="dcterms:W3CDTF">2019-06-10T03:17:00Z</dcterms:created>
  <dcterms:modified xsi:type="dcterms:W3CDTF">2019-06-10T03:17:00Z</dcterms:modified>
</cp:coreProperties>
</file>