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6703" w:rsidRDefault="002C6703">
      <w:pPr>
        <w:rPr>
          <w:noProof/>
        </w:rPr>
      </w:pPr>
    </w:p>
    <w:p w:rsidR="002C6703" w:rsidRDefault="00E83193">
      <w:pPr>
        <w:rPr>
          <w:noProof/>
          <w:sz w:val="32"/>
          <w:szCs w:val="32"/>
        </w:rPr>
      </w:pPr>
      <w:r w:rsidRPr="00E83193">
        <w:rPr>
          <w:noProof/>
          <w:sz w:val="32"/>
          <w:szCs w:val="32"/>
        </w:rPr>
        <w:t>Supplementary materials</w:t>
      </w:r>
    </w:p>
    <w:p w:rsidR="00E83193" w:rsidRDefault="00E83193">
      <w:pPr>
        <w:rPr>
          <w:noProof/>
          <w:sz w:val="32"/>
          <w:szCs w:val="32"/>
        </w:rPr>
      </w:pPr>
    </w:p>
    <w:p w:rsidR="00E83193" w:rsidRPr="00E83193" w:rsidRDefault="00E83193">
      <w:pPr>
        <w:rPr>
          <w:noProof/>
          <w:sz w:val="24"/>
          <w:szCs w:val="24"/>
        </w:rPr>
      </w:pPr>
      <w:r w:rsidRPr="00E83193">
        <w:rPr>
          <w:noProof/>
          <w:sz w:val="24"/>
          <w:szCs w:val="24"/>
        </w:rPr>
        <w:t>Figure S1</w:t>
      </w:r>
      <w:r w:rsidRPr="00E83193">
        <w:rPr>
          <w:sz w:val="24"/>
          <w:szCs w:val="24"/>
        </w:rPr>
        <w:t xml:space="preserve"> </w:t>
      </w:r>
      <w:r w:rsidRPr="00E83193">
        <w:rPr>
          <w:noProof/>
          <w:sz w:val="24"/>
          <w:szCs w:val="24"/>
        </w:rPr>
        <w:t>The effects of HJC0152 in HGC-27 cells.</w:t>
      </w:r>
    </w:p>
    <w:p w:rsidR="009C55BD" w:rsidRDefault="002C6703">
      <w:r>
        <w:rPr>
          <w:noProof/>
        </w:rPr>
        <w:drawing>
          <wp:inline distT="0" distB="0" distL="0" distR="0">
            <wp:extent cx="5943600" cy="2096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_Nov_2018_Figure_S1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193" w:rsidRPr="00E613B3" w:rsidRDefault="00E83193" w:rsidP="00E83193">
      <w:pPr>
        <w:spacing w:line="360" w:lineRule="auto"/>
        <w:rPr>
          <w:rFonts w:cs="Arial"/>
          <w:szCs w:val="20"/>
        </w:rPr>
      </w:pPr>
      <w:r w:rsidRPr="00E83193">
        <w:rPr>
          <w:rFonts w:cs="Arial"/>
          <w:b/>
          <w:color w:val="000000"/>
          <w:szCs w:val="20"/>
        </w:rPr>
        <w:t>Notes:</w:t>
      </w:r>
      <w:r>
        <w:rPr>
          <w:rFonts w:cs="Arial"/>
          <w:color w:val="000000"/>
          <w:szCs w:val="20"/>
        </w:rPr>
        <w:t xml:space="preserve"> </w:t>
      </w:r>
      <w:r w:rsidRPr="00E613B3">
        <w:rPr>
          <w:rFonts w:cs="Arial"/>
          <w:color w:val="000000"/>
          <w:szCs w:val="20"/>
        </w:rPr>
        <w:t>(</w:t>
      </w:r>
      <w:r w:rsidRPr="00E83193">
        <w:rPr>
          <w:rFonts w:cs="Arial"/>
          <w:b/>
          <w:color w:val="000000"/>
          <w:szCs w:val="20"/>
        </w:rPr>
        <w:t>A</w:t>
      </w:r>
      <w:r w:rsidRPr="00E613B3">
        <w:rPr>
          <w:rFonts w:cs="Arial"/>
          <w:color w:val="000000"/>
          <w:szCs w:val="20"/>
        </w:rPr>
        <w:t>)</w:t>
      </w:r>
      <w:r w:rsidRPr="00EA358D">
        <w:rPr>
          <w:rFonts w:cs="Arial"/>
          <w:b/>
          <w:szCs w:val="20"/>
        </w:rPr>
        <w:t xml:space="preserve"> </w:t>
      </w:r>
      <w:r w:rsidRPr="00EA358D">
        <w:rPr>
          <w:rFonts w:cs="Arial" w:hint="eastAsia"/>
          <w:szCs w:val="20"/>
        </w:rPr>
        <w:t>The</w:t>
      </w:r>
      <w:r>
        <w:rPr>
          <w:rFonts w:cs="Arial" w:hint="eastAsia"/>
          <w:szCs w:val="20"/>
        </w:rPr>
        <w:t xml:space="preserve"> effect of</w:t>
      </w:r>
      <w:r w:rsidRPr="00EA358D">
        <w:rPr>
          <w:rFonts w:cs="Arial" w:hint="eastAsia"/>
          <w:szCs w:val="20"/>
        </w:rPr>
        <w:t xml:space="preserve"> </w:t>
      </w:r>
      <w:r w:rsidRPr="00EA358D">
        <w:rPr>
          <w:rFonts w:cs="Arial"/>
          <w:szCs w:val="20"/>
        </w:rPr>
        <w:t>HJC0152</w:t>
      </w:r>
      <w:r>
        <w:rPr>
          <w:rFonts w:cs="Arial" w:hint="eastAsia"/>
          <w:szCs w:val="20"/>
        </w:rPr>
        <w:t xml:space="preserve"> on the</w:t>
      </w:r>
      <w:r w:rsidRPr="00EA358D">
        <w:rPr>
          <w:rFonts w:cs="Arial"/>
          <w:szCs w:val="20"/>
        </w:rPr>
        <w:t xml:space="preserve"> phosphorylation of STAT3 in </w:t>
      </w:r>
      <w:r>
        <w:rPr>
          <w:rFonts w:cs="Arial" w:hint="eastAsia"/>
          <w:szCs w:val="20"/>
        </w:rPr>
        <w:t>HGC-27</w:t>
      </w:r>
      <w:r w:rsidRPr="00EA358D">
        <w:rPr>
          <w:rFonts w:cs="Arial"/>
          <w:szCs w:val="20"/>
        </w:rPr>
        <w:t xml:space="preserve"> cells.</w:t>
      </w:r>
      <w:r w:rsidRPr="00EA358D">
        <w:rPr>
          <w:rFonts w:cs="Arial"/>
          <w:color w:val="000000"/>
          <w:szCs w:val="20"/>
        </w:rPr>
        <w:t xml:space="preserve"> (</w:t>
      </w:r>
      <w:r w:rsidRPr="00E83193">
        <w:rPr>
          <w:rFonts w:cs="Arial" w:hint="eastAsia"/>
          <w:b/>
          <w:color w:val="000000"/>
          <w:szCs w:val="20"/>
        </w:rPr>
        <w:t>B</w:t>
      </w:r>
      <w:r w:rsidRPr="00EA358D">
        <w:rPr>
          <w:rFonts w:cs="Arial"/>
          <w:color w:val="000000"/>
          <w:szCs w:val="20"/>
        </w:rPr>
        <w:t xml:space="preserve">) </w:t>
      </w:r>
      <w:r w:rsidRPr="00E613B3">
        <w:rPr>
          <w:rFonts w:cs="Arial"/>
          <w:szCs w:val="20"/>
        </w:rPr>
        <w:t xml:space="preserve">Viability of </w:t>
      </w:r>
      <w:r>
        <w:rPr>
          <w:rFonts w:cs="Arial" w:hint="eastAsia"/>
          <w:szCs w:val="20"/>
        </w:rPr>
        <w:t>HGC-27</w:t>
      </w:r>
      <w:r w:rsidRPr="00E613B3">
        <w:rPr>
          <w:rFonts w:cs="Arial"/>
          <w:szCs w:val="20"/>
        </w:rPr>
        <w:t xml:space="preserve"> cells treated with different concentrations of HJC0152 (0, 1, 5, 10 and 20</w:t>
      </w:r>
      <w:r w:rsidRPr="00E613B3">
        <w:rPr>
          <w:rFonts w:cs="Arial"/>
          <w:color w:val="231F20"/>
          <w:szCs w:val="20"/>
        </w:rPr>
        <w:t>μM</w:t>
      </w:r>
      <w:r w:rsidRPr="00E613B3">
        <w:rPr>
          <w:rFonts w:cs="Arial"/>
          <w:szCs w:val="20"/>
        </w:rPr>
        <w:t>) for 0, 24, 48, and 72 h was determined by CCK8 assay.</w:t>
      </w:r>
      <w:r w:rsidRPr="00B93B18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**</w:t>
      </w:r>
      <w:r w:rsidRPr="00E83193">
        <w:rPr>
          <w:rFonts w:cs="Arial"/>
          <w:i/>
          <w:szCs w:val="20"/>
        </w:rPr>
        <w:t>P</w:t>
      </w:r>
      <w:r>
        <w:rPr>
          <w:rFonts w:cs="Arial"/>
          <w:szCs w:val="20"/>
        </w:rPr>
        <w:t>&lt; 0.01, ***</w:t>
      </w:r>
      <w:r w:rsidRPr="00E83193">
        <w:rPr>
          <w:rFonts w:cs="Arial"/>
          <w:i/>
          <w:szCs w:val="20"/>
        </w:rPr>
        <w:t>P</w:t>
      </w:r>
      <w:r w:rsidRPr="00E613B3">
        <w:rPr>
          <w:rFonts w:cs="Arial"/>
          <w:szCs w:val="20"/>
        </w:rPr>
        <w:t xml:space="preserve">&lt; 0.001 </w:t>
      </w:r>
      <w:r w:rsidRPr="00E613B3">
        <w:rPr>
          <w:rFonts w:cs="Arial"/>
          <w:color w:val="231F20"/>
          <w:szCs w:val="20"/>
        </w:rPr>
        <w:t>vs</w:t>
      </w:r>
      <w:r>
        <w:rPr>
          <w:rFonts w:cs="Arial"/>
          <w:color w:val="231F20"/>
          <w:szCs w:val="20"/>
        </w:rPr>
        <w:t xml:space="preserve"> </w:t>
      </w:r>
      <w:r w:rsidRPr="00E613B3">
        <w:rPr>
          <w:rFonts w:cs="Arial"/>
          <w:szCs w:val="20"/>
        </w:rPr>
        <w:t>control.</w:t>
      </w:r>
    </w:p>
    <w:p w:rsidR="00E83193" w:rsidRDefault="00E83193" w:rsidP="00E83193">
      <w:pPr>
        <w:spacing w:line="360" w:lineRule="auto"/>
        <w:rPr>
          <w:rFonts w:cs="Arial"/>
          <w:b/>
          <w:szCs w:val="20"/>
        </w:rPr>
      </w:pPr>
    </w:p>
    <w:p w:rsidR="00E83193" w:rsidRDefault="00E83193" w:rsidP="00E83193">
      <w:pPr>
        <w:spacing w:line="360" w:lineRule="auto"/>
        <w:rPr>
          <w:rFonts w:cs="Arial"/>
          <w:b/>
          <w:szCs w:val="20"/>
        </w:rPr>
      </w:pPr>
    </w:p>
    <w:p w:rsidR="00E83193" w:rsidRDefault="00E83193" w:rsidP="00E83193">
      <w:pPr>
        <w:spacing w:line="360" w:lineRule="auto"/>
        <w:rPr>
          <w:rFonts w:cs="Arial"/>
          <w:b/>
          <w:szCs w:val="20"/>
        </w:rPr>
      </w:pPr>
    </w:p>
    <w:p w:rsidR="00E83193" w:rsidRDefault="00E83193" w:rsidP="00E83193">
      <w:pPr>
        <w:spacing w:line="360" w:lineRule="auto"/>
        <w:rPr>
          <w:rFonts w:cs="Arial"/>
          <w:b/>
          <w:szCs w:val="20"/>
        </w:rPr>
      </w:pPr>
    </w:p>
    <w:p w:rsidR="00E83193" w:rsidRDefault="00E83193" w:rsidP="00E83193">
      <w:pPr>
        <w:spacing w:line="360" w:lineRule="auto"/>
        <w:rPr>
          <w:rFonts w:cs="Arial"/>
          <w:b/>
          <w:szCs w:val="20"/>
        </w:rPr>
      </w:pPr>
    </w:p>
    <w:p w:rsidR="00E83193" w:rsidRDefault="00E83193" w:rsidP="00E83193">
      <w:pPr>
        <w:spacing w:line="360" w:lineRule="auto"/>
        <w:rPr>
          <w:rFonts w:cs="Arial"/>
          <w:b/>
          <w:szCs w:val="20"/>
        </w:rPr>
      </w:pPr>
    </w:p>
    <w:p w:rsidR="00E83193" w:rsidRDefault="00E83193" w:rsidP="00E83193">
      <w:pPr>
        <w:spacing w:line="360" w:lineRule="auto"/>
        <w:rPr>
          <w:rFonts w:cs="Arial"/>
          <w:b/>
          <w:szCs w:val="20"/>
        </w:rPr>
      </w:pPr>
    </w:p>
    <w:p w:rsidR="00E83193" w:rsidRDefault="00E83193" w:rsidP="00E83193">
      <w:pPr>
        <w:spacing w:line="360" w:lineRule="auto"/>
        <w:rPr>
          <w:rFonts w:cs="Arial"/>
          <w:b/>
          <w:szCs w:val="20"/>
        </w:rPr>
      </w:pPr>
    </w:p>
    <w:p w:rsidR="00E83193" w:rsidRDefault="00E83193" w:rsidP="00E83193">
      <w:pPr>
        <w:spacing w:line="360" w:lineRule="auto"/>
        <w:rPr>
          <w:rFonts w:cs="Arial"/>
          <w:b/>
          <w:szCs w:val="20"/>
        </w:rPr>
      </w:pPr>
    </w:p>
    <w:p w:rsidR="00E83193" w:rsidRDefault="00E83193" w:rsidP="00E83193">
      <w:pPr>
        <w:spacing w:line="360" w:lineRule="auto"/>
        <w:rPr>
          <w:rFonts w:cs="Arial"/>
          <w:b/>
          <w:szCs w:val="20"/>
        </w:rPr>
      </w:pPr>
    </w:p>
    <w:p w:rsidR="00E83193" w:rsidRDefault="00E83193" w:rsidP="00E83193">
      <w:pPr>
        <w:spacing w:line="360" w:lineRule="auto"/>
        <w:rPr>
          <w:rFonts w:cs="Arial"/>
          <w:b/>
          <w:szCs w:val="20"/>
        </w:rPr>
      </w:pPr>
    </w:p>
    <w:p w:rsidR="00E83193" w:rsidRPr="00E83193" w:rsidRDefault="00E83193" w:rsidP="00E83193">
      <w:pPr>
        <w:spacing w:line="360" w:lineRule="auto"/>
        <w:rPr>
          <w:rFonts w:cs="Arial"/>
          <w:szCs w:val="20"/>
        </w:rPr>
      </w:pPr>
      <w:r w:rsidRPr="00E83193">
        <w:rPr>
          <w:rFonts w:cs="Arial"/>
          <w:szCs w:val="20"/>
        </w:rPr>
        <w:lastRenderedPageBreak/>
        <w:t>Figure S</w:t>
      </w:r>
      <w:r w:rsidRPr="00E83193">
        <w:rPr>
          <w:rFonts w:cs="Arial" w:hint="eastAsia"/>
          <w:szCs w:val="20"/>
        </w:rPr>
        <w:t>2</w:t>
      </w:r>
      <w:r>
        <w:rPr>
          <w:rFonts w:cs="Arial"/>
          <w:szCs w:val="20"/>
        </w:rPr>
        <w:t xml:space="preserve"> </w:t>
      </w:r>
      <w:r w:rsidRPr="00E83193">
        <w:rPr>
          <w:rFonts w:cs="Arial"/>
          <w:bCs/>
          <w:color w:val="000000"/>
          <w:szCs w:val="20"/>
        </w:rPr>
        <w:t xml:space="preserve">Quality control and quantitative analysis of RNA sequencing data. </w:t>
      </w:r>
    </w:p>
    <w:p w:rsidR="00E83193" w:rsidRDefault="00E83193"/>
    <w:p w:rsidR="002C6703" w:rsidRDefault="002C6703"/>
    <w:p w:rsidR="002C6703" w:rsidRDefault="00E83193">
      <w:r>
        <w:rPr>
          <w:noProof/>
        </w:rPr>
        <w:t>–</w:t>
      </w:r>
      <w:r w:rsidR="002C6703">
        <w:rPr>
          <w:noProof/>
        </w:rPr>
        <w:drawing>
          <wp:inline distT="0" distB="0" distL="0" distR="0">
            <wp:extent cx="5762625" cy="4220384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_Nov_2018_Figure_S2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443" cy="424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193" w:rsidRPr="00E613B3" w:rsidRDefault="00E83193" w:rsidP="00E83193">
      <w:pPr>
        <w:spacing w:line="360" w:lineRule="auto"/>
        <w:rPr>
          <w:rFonts w:cs="Arial"/>
          <w:szCs w:val="20"/>
        </w:rPr>
      </w:pPr>
      <w:r w:rsidRPr="00E83193">
        <w:rPr>
          <w:rFonts w:cs="Arial"/>
          <w:b/>
          <w:color w:val="000000"/>
          <w:szCs w:val="20"/>
        </w:rPr>
        <w:t>Notes:</w:t>
      </w:r>
      <w:r>
        <w:rPr>
          <w:rFonts w:cs="Arial"/>
          <w:color w:val="000000"/>
          <w:szCs w:val="20"/>
        </w:rPr>
        <w:t xml:space="preserve"> </w:t>
      </w:r>
      <w:r w:rsidRPr="00E613B3">
        <w:rPr>
          <w:rFonts w:cs="Arial"/>
          <w:color w:val="000000"/>
          <w:szCs w:val="20"/>
        </w:rPr>
        <w:t>(</w:t>
      </w:r>
      <w:r w:rsidRPr="00E83193">
        <w:rPr>
          <w:rFonts w:cs="Arial"/>
          <w:b/>
          <w:color w:val="000000"/>
          <w:szCs w:val="20"/>
        </w:rPr>
        <w:t>A</w:t>
      </w:r>
      <w:r w:rsidRPr="00E613B3">
        <w:rPr>
          <w:rFonts w:cs="Arial"/>
          <w:color w:val="000000"/>
          <w:szCs w:val="20"/>
        </w:rPr>
        <w:t>)</w:t>
      </w:r>
      <w:r>
        <w:rPr>
          <w:rFonts w:cs="Arial"/>
          <w:color w:val="000000"/>
          <w:szCs w:val="20"/>
        </w:rPr>
        <w:t xml:space="preserve"> </w:t>
      </w:r>
      <w:r w:rsidRPr="00E613B3">
        <w:rPr>
          <w:rFonts w:cs="Arial"/>
          <w:color w:val="000000"/>
          <w:szCs w:val="20"/>
        </w:rPr>
        <w:t>Representative quality control statistics of raw reads (sample Control_1). (</w:t>
      </w:r>
      <w:r w:rsidRPr="00E83193">
        <w:rPr>
          <w:rFonts w:cs="Arial"/>
          <w:b/>
          <w:color w:val="000000"/>
          <w:szCs w:val="20"/>
        </w:rPr>
        <w:t>B</w:t>
      </w:r>
      <w:r w:rsidRPr="00E613B3">
        <w:rPr>
          <w:rFonts w:cs="Arial"/>
          <w:color w:val="000000"/>
          <w:szCs w:val="20"/>
        </w:rPr>
        <w:t>) Representative sequencing saturation analysis (Control_1). X-axis shows the number of clean reads, Y-axis shows the ratio of identified genes to total genes in reference database. (</w:t>
      </w:r>
      <w:r w:rsidRPr="00E83193">
        <w:rPr>
          <w:rFonts w:cs="Arial"/>
          <w:b/>
          <w:color w:val="000000"/>
          <w:szCs w:val="20"/>
        </w:rPr>
        <w:t>C</w:t>
      </w:r>
      <w:r w:rsidRPr="00E613B3">
        <w:rPr>
          <w:rFonts w:cs="Arial"/>
          <w:color w:val="000000"/>
          <w:szCs w:val="20"/>
        </w:rPr>
        <w:t>) Bar graph sho</w:t>
      </w:r>
      <w:bookmarkStart w:id="0" w:name="_GoBack"/>
      <w:bookmarkEnd w:id="0"/>
      <w:r w:rsidRPr="00E613B3">
        <w:rPr>
          <w:rFonts w:cs="Arial"/>
          <w:color w:val="000000"/>
          <w:szCs w:val="20"/>
        </w:rPr>
        <w:t>wing number of identified genes in each sample. (</w:t>
      </w:r>
      <w:r w:rsidRPr="00E83193">
        <w:rPr>
          <w:rFonts w:cs="Arial"/>
          <w:b/>
          <w:color w:val="000000"/>
          <w:szCs w:val="20"/>
        </w:rPr>
        <w:t>D</w:t>
      </w:r>
      <w:r w:rsidRPr="00E613B3">
        <w:rPr>
          <w:rFonts w:cs="Arial"/>
          <w:color w:val="000000"/>
          <w:szCs w:val="20"/>
        </w:rPr>
        <w:t>) Heatmap showing correlation coefficient values across samples.</w:t>
      </w:r>
    </w:p>
    <w:p w:rsidR="00E83193" w:rsidRDefault="00E83193"/>
    <w:sectPr w:rsidR="00E8319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703"/>
    <w:rsid w:val="002C6703"/>
    <w:rsid w:val="009C55BD"/>
    <w:rsid w:val="00E83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FA2E95"/>
  <w15:chartTrackingRefBased/>
  <w15:docId w15:val="{DDC9D615-BC09-463B-8A1E-B35A464BD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134</Words>
  <Characters>713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Olliver</dc:creator>
  <cp:keywords/>
  <dc:description/>
  <cp:lastModifiedBy>Boon Lee</cp:lastModifiedBy>
  <cp:revision>2</cp:revision>
  <dcterms:created xsi:type="dcterms:W3CDTF">2018-12-06T22:08:00Z</dcterms:created>
  <dcterms:modified xsi:type="dcterms:W3CDTF">2018-12-06T22:08:00Z</dcterms:modified>
</cp:coreProperties>
</file>