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5C4E" w14:textId="00635660" w:rsidR="00383950" w:rsidRPr="00172A5C" w:rsidRDefault="00134D99" w:rsidP="0094495E">
      <w:pPr>
        <w:spacing w:line="480" w:lineRule="auto"/>
        <w:rPr>
          <w:rFonts w:ascii="Arial" w:hAnsi="Arial" w:cs="Arial"/>
        </w:rPr>
      </w:pPr>
      <w:r w:rsidRPr="004F09C0">
        <w:rPr>
          <w:rFonts w:ascii="Arial" w:hAnsi="Arial" w:cs="Arial"/>
          <w:b/>
          <w:szCs w:val="24"/>
        </w:rPr>
        <w:t xml:space="preserve">Supplementary </w:t>
      </w:r>
      <w:r w:rsidR="00172A5C" w:rsidRPr="004F09C0">
        <w:rPr>
          <w:rFonts w:ascii="Arial" w:hAnsi="Arial" w:cs="Arial"/>
          <w:b/>
          <w:szCs w:val="24"/>
        </w:rPr>
        <w:t>Table 1</w:t>
      </w:r>
      <w:r w:rsidR="00F30930">
        <w:rPr>
          <w:rFonts w:ascii="Arial" w:hAnsi="Arial" w:cs="Arial"/>
          <w:b/>
          <w:sz w:val="32"/>
          <w:szCs w:val="32"/>
        </w:rPr>
        <w:t xml:space="preserve"> </w:t>
      </w:r>
      <w:r w:rsidR="00101488" w:rsidRPr="00172A5C">
        <w:rPr>
          <w:rFonts w:ascii="Arial" w:hAnsi="Arial" w:cs="Arial"/>
        </w:rPr>
        <w:t>Primers for</w:t>
      </w:r>
      <w:r w:rsidR="0094495E" w:rsidRPr="00172A5C">
        <w:rPr>
          <w:rFonts w:ascii="Arial" w:hAnsi="Arial" w:cs="Arial"/>
        </w:rPr>
        <w:t xml:space="preserve"> </w:t>
      </w:r>
      <w:r w:rsidR="0094495E" w:rsidRPr="00172A5C">
        <w:rPr>
          <w:rFonts w:ascii="Arial" w:hAnsi="Arial" w:cs="Arial"/>
          <w:i/>
        </w:rPr>
        <w:t>mcr</w:t>
      </w:r>
      <w:r w:rsidR="0094495E" w:rsidRPr="00172A5C">
        <w:rPr>
          <w:rFonts w:ascii="Arial" w:hAnsi="Arial" w:cs="Arial"/>
        </w:rPr>
        <w:t xml:space="preserve">-1 to </w:t>
      </w:r>
      <w:r w:rsidR="0094495E" w:rsidRPr="00172A5C">
        <w:rPr>
          <w:rFonts w:ascii="Arial" w:hAnsi="Arial" w:cs="Arial"/>
          <w:i/>
        </w:rPr>
        <w:t>mcr</w:t>
      </w:r>
      <w:r w:rsidR="0094495E" w:rsidRPr="00172A5C">
        <w:rPr>
          <w:rFonts w:ascii="Arial" w:hAnsi="Arial" w:cs="Arial"/>
        </w:rPr>
        <w:t>-5 used to detect the carriage of</w:t>
      </w:r>
      <w:r w:rsidR="00141EE6" w:rsidRPr="00172A5C">
        <w:rPr>
          <w:rFonts w:ascii="Arial" w:hAnsi="Arial" w:cs="Arial"/>
        </w:rPr>
        <w:t xml:space="preserve"> various</w:t>
      </w:r>
      <w:r w:rsidR="0094495E" w:rsidRPr="00172A5C">
        <w:rPr>
          <w:rFonts w:ascii="Arial" w:hAnsi="Arial" w:cs="Arial"/>
        </w:rPr>
        <w:t xml:space="preserve"> plasmidic genes </w:t>
      </w:r>
      <w:r w:rsidR="00101488" w:rsidRPr="00172A5C">
        <w:rPr>
          <w:rFonts w:ascii="Arial" w:hAnsi="Arial" w:cs="Arial"/>
        </w:rPr>
        <w:t>in</w:t>
      </w:r>
      <w:r w:rsidR="0094495E" w:rsidRPr="00172A5C">
        <w:rPr>
          <w:rFonts w:ascii="Arial" w:hAnsi="Arial" w:cs="Arial"/>
        </w:rPr>
        <w:t xml:space="preserve"> the enrolled </w:t>
      </w:r>
      <w:r w:rsidR="0094495E" w:rsidRPr="00172A5C">
        <w:rPr>
          <w:rFonts w:ascii="Arial" w:hAnsi="Arial" w:cs="Arial"/>
          <w:i/>
        </w:rPr>
        <w:t>Enterobacteriaceae</w:t>
      </w:r>
      <w:r w:rsidR="0094495E" w:rsidRPr="00172A5C">
        <w:rPr>
          <w:rFonts w:ascii="Arial" w:hAnsi="Arial" w:cs="Arial"/>
        </w:rPr>
        <w:t xml:space="preserve"> isolates </w:t>
      </w:r>
      <w:r w:rsidR="00101488" w:rsidRPr="00172A5C">
        <w:rPr>
          <w:rFonts w:ascii="Arial" w:hAnsi="Arial" w:cs="Arial"/>
        </w:rPr>
        <w:t>with</w:t>
      </w:r>
      <w:r w:rsidR="0094495E" w:rsidRPr="00172A5C">
        <w:rPr>
          <w:rFonts w:ascii="Arial" w:hAnsi="Arial" w:cs="Arial"/>
        </w:rPr>
        <w:t xml:space="preserve"> </w:t>
      </w:r>
      <w:r w:rsidR="0094495E" w:rsidRPr="0018152D">
        <w:rPr>
          <w:rFonts w:ascii="Arial" w:hAnsi="Arial" w:cs="Arial"/>
          <w:i/>
        </w:rPr>
        <w:t>in vitro</w:t>
      </w:r>
      <w:r w:rsidR="0094495E" w:rsidRPr="00172A5C">
        <w:rPr>
          <w:rFonts w:ascii="Arial" w:hAnsi="Arial" w:cs="Arial"/>
        </w:rPr>
        <w:t xml:space="preserve"> non-susceptibility to colistin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6"/>
        <w:gridCol w:w="4111"/>
        <w:gridCol w:w="4394"/>
      </w:tblGrid>
      <w:tr w:rsidR="0094495E" w:rsidRPr="005F3574" w14:paraId="120F5C53" w14:textId="77777777" w:rsidTr="00754516"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</w:tcPr>
          <w:p w14:paraId="120F5C4F" w14:textId="591C9377" w:rsidR="00383950" w:rsidRPr="00172A5C" w:rsidRDefault="006C386A" w:rsidP="0018152D">
            <w:pPr>
              <w:rPr>
                <w:rFonts w:ascii="Arial" w:hAnsi="Arial" w:cs="Arial"/>
                <w:b/>
              </w:rPr>
            </w:pPr>
            <w:r w:rsidRPr="00172A5C">
              <w:rPr>
                <w:rFonts w:ascii="Arial" w:hAnsi="Arial" w:cs="Arial"/>
                <w:b/>
              </w:rPr>
              <w:t xml:space="preserve">Types of </w:t>
            </w:r>
            <w:r w:rsidR="00C618F9" w:rsidRPr="00172A5C">
              <w:rPr>
                <w:rFonts w:ascii="Arial" w:hAnsi="Arial" w:cs="Arial"/>
                <w:b/>
              </w:rPr>
              <w:t>genes</w:t>
            </w:r>
            <w:r w:rsidR="00172A5C">
              <w:rPr>
                <w:rFonts w:ascii="Arial" w:hAnsi="Arial" w:cs="Arial"/>
                <w:b/>
              </w:rPr>
              <w:t xml:space="preserve"> encoding the </w:t>
            </w:r>
            <w:r w:rsidR="0018152D" w:rsidRPr="0018152D">
              <w:rPr>
                <w:rFonts w:ascii="Arial" w:hAnsi="Arial" w:cs="Arial"/>
                <w:b/>
                <w:i/>
              </w:rPr>
              <w:t>mcr</w:t>
            </w:r>
            <w:r w:rsidR="0018152D">
              <w:rPr>
                <w:rFonts w:ascii="Arial" w:hAnsi="Arial" w:cs="Arial"/>
                <w:b/>
              </w:rPr>
              <w:t xml:space="preserve"> genes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120F5C50" w14:textId="77777777" w:rsidR="00383950" w:rsidRPr="00172A5C" w:rsidRDefault="00C618F9" w:rsidP="00134D99">
            <w:pPr>
              <w:jc w:val="center"/>
              <w:rPr>
                <w:rFonts w:ascii="Arial" w:hAnsi="Arial" w:cs="Arial"/>
                <w:b/>
              </w:rPr>
            </w:pPr>
            <w:r w:rsidRPr="00172A5C">
              <w:rPr>
                <w:rFonts w:ascii="Arial" w:hAnsi="Arial" w:cs="Arial"/>
                <w:b/>
              </w:rPr>
              <w:t>Primers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20F5C51" w14:textId="77777777" w:rsidR="00383950" w:rsidRPr="00172A5C" w:rsidRDefault="00C618F9" w:rsidP="00134D99">
            <w:pPr>
              <w:jc w:val="center"/>
              <w:rPr>
                <w:rFonts w:ascii="Arial" w:hAnsi="Arial" w:cs="Arial"/>
                <w:b/>
              </w:rPr>
            </w:pPr>
            <w:r w:rsidRPr="00172A5C">
              <w:rPr>
                <w:rFonts w:ascii="Arial" w:hAnsi="Arial" w:cs="Arial"/>
                <w:b/>
              </w:rPr>
              <w:t>Nucleotide sequence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20F5C52" w14:textId="77777777" w:rsidR="00383950" w:rsidRPr="00172A5C" w:rsidRDefault="006C386A" w:rsidP="00134D99">
            <w:pPr>
              <w:jc w:val="center"/>
              <w:rPr>
                <w:rFonts w:ascii="Arial" w:hAnsi="Arial" w:cs="Arial"/>
                <w:b/>
              </w:rPr>
            </w:pPr>
            <w:r w:rsidRPr="00172A5C">
              <w:rPr>
                <w:rFonts w:ascii="Arial" w:hAnsi="Arial" w:cs="Arial"/>
                <w:b/>
              </w:rPr>
              <w:t>Reference</w:t>
            </w:r>
          </w:p>
        </w:tc>
      </w:tr>
      <w:tr w:rsidR="0094495E" w:rsidRPr="005F3574" w14:paraId="120F5C58" w14:textId="77777777" w:rsidTr="00754516"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F5C54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  <w:i/>
              </w:rPr>
              <w:t>mcr</w:t>
            </w:r>
            <w:r w:rsidRPr="00172A5C">
              <w:rPr>
                <w:rFonts w:ascii="Arial" w:hAnsi="Arial" w:cs="Arial"/>
              </w:rPr>
              <w:t>-1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F5C55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CLR5-F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F5C56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CGGTCAGTCCGTTTGTTC</w:t>
            </w:r>
          </w:p>
        </w:tc>
        <w:tc>
          <w:tcPr>
            <w:tcW w:w="4394" w:type="dxa"/>
            <w:vMerge w:val="restart"/>
            <w:tcBorders>
              <w:left w:val="nil"/>
              <w:right w:val="nil"/>
            </w:tcBorders>
          </w:tcPr>
          <w:p w14:paraId="120F5C57" w14:textId="4926B87C" w:rsidR="0094495E" w:rsidRPr="00172A5C" w:rsidRDefault="0094495E">
            <w:pPr>
              <w:rPr>
                <w:rFonts w:ascii="Arial" w:hAnsi="Arial" w:cs="Arial"/>
              </w:rPr>
            </w:pPr>
            <w:r w:rsidRPr="00B17D5E">
              <w:rPr>
                <w:rFonts w:ascii="Arial" w:hAnsi="Arial" w:cs="Arial"/>
                <w:i/>
              </w:rPr>
              <w:t>Lancet Infect</w:t>
            </w:r>
            <w:r w:rsidR="00B17D5E">
              <w:rPr>
                <w:rFonts w:ascii="Arial" w:hAnsi="Arial" w:cs="Arial"/>
                <w:i/>
              </w:rPr>
              <w:t>.</w:t>
            </w:r>
            <w:r w:rsidRPr="00B17D5E">
              <w:rPr>
                <w:rFonts w:ascii="Arial" w:hAnsi="Arial" w:cs="Arial"/>
                <w:i/>
              </w:rPr>
              <w:t xml:space="preserve"> Dis</w:t>
            </w:r>
            <w:r w:rsidRPr="00172A5C">
              <w:rPr>
                <w:rFonts w:ascii="Arial" w:hAnsi="Arial" w:cs="Arial"/>
              </w:rPr>
              <w:t xml:space="preserve"> 2016;16:161–</w:t>
            </w:r>
            <w:r w:rsidR="00B17D5E">
              <w:rPr>
                <w:rFonts w:ascii="Arial" w:hAnsi="Arial" w:cs="Arial"/>
              </w:rPr>
              <w:t>16</w:t>
            </w:r>
            <w:r w:rsidRPr="00172A5C">
              <w:rPr>
                <w:rFonts w:ascii="Arial" w:hAnsi="Arial" w:cs="Arial"/>
              </w:rPr>
              <w:t>8</w:t>
            </w:r>
          </w:p>
        </w:tc>
      </w:tr>
      <w:tr w:rsidR="0094495E" w:rsidRPr="005F3574" w14:paraId="120F5C5D" w14:textId="77777777" w:rsidTr="00754516"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59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5A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CLR5-R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5B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CTTGGTCGGTCTGTA GGG</w:t>
            </w: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120F5C5C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</w:tr>
      <w:tr w:rsidR="0094495E" w:rsidRPr="005F3574" w14:paraId="120F5C62" w14:textId="77777777" w:rsidTr="00754516"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5E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  <w:i/>
              </w:rPr>
              <w:t>mcr</w:t>
            </w:r>
            <w:r w:rsidRPr="00172A5C">
              <w:rPr>
                <w:rFonts w:ascii="Arial" w:hAnsi="Arial" w:cs="Arial"/>
              </w:rPr>
              <w:t>-2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5F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MCR2-F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60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TGGTACAGCCCCTTTATT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61" w14:textId="6D804EAD" w:rsidR="0094495E" w:rsidRPr="00172A5C" w:rsidRDefault="0094495E">
            <w:pPr>
              <w:rPr>
                <w:rFonts w:ascii="Arial" w:hAnsi="Arial" w:cs="Arial"/>
              </w:rPr>
            </w:pPr>
            <w:r w:rsidRPr="00B17D5E">
              <w:rPr>
                <w:rFonts w:ascii="Arial" w:hAnsi="Arial" w:cs="Arial"/>
                <w:i/>
              </w:rPr>
              <w:t>Euro Surveill</w:t>
            </w:r>
            <w:r w:rsidR="00B17D5E">
              <w:rPr>
                <w:rFonts w:ascii="Arial" w:hAnsi="Arial" w:cs="Arial"/>
                <w:i/>
              </w:rPr>
              <w:t>.</w:t>
            </w:r>
            <w:r w:rsidRPr="00172A5C">
              <w:rPr>
                <w:rFonts w:ascii="Arial" w:hAnsi="Arial" w:cs="Arial"/>
              </w:rPr>
              <w:t xml:space="preserve"> 2016;21(27)</w:t>
            </w:r>
          </w:p>
        </w:tc>
      </w:tr>
      <w:tr w:rsidR="0094495E" w:rsidRPr="005F3574" w14:paraId="120F5C67" w14:textId="77777777" w:rsidTr="00754516"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63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64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MCR2-R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65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GCTTGAGATTGGGTTATGA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66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</w:tr>
      <w:tr w:rsidR="0094495E" w:rsidRPr="005F3574" w14:paraId="120F5C6C" w14:textId="77777777" w:rsidTr="00754516"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68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  <w:i/>
              </w:rPr>
              <w:t>mcr</w:t>
            </w:r>
            <w:r w:rsidRPr="00172A5C">
              <w:rPr>
                <w:rFonts w:ascii="Arial" w:hAnsi="Arial" w:cs="Arial"/>
              </w:rPr>
              <w:t>-3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69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MCR3-F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6A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TTGGCACTGTATTTTGCATTT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6B" w14:textId="11FE0DAC" w:rsidR="0094495E" w:rsidRPr="00172A5C" w:rsidRDefault="0094495E">
            <w:pPr>
              <w:rPr>
                <w:rFonts w:ascii="Arial" w:hAnsi="Arial" w:cs="Arial"/>
              </w:rPr>
            </w:pPr>
            <w:r w:rsidRPr="00B17D5E">
              <w:rPr>
                <w:rFonts w:ascii="Arial" w:hAnsi="Arial" w:cs="Arial"/>
                <w:i/>
              </w:rPr>
              <w:t>mBio</w:t>
            </w:r>
            <w:r w:rsidR="00B17D5E" w:rsidRPr="00B17D5E">
              <w:rPr>
                <w:rFonts w:ascii="Arial" w:hAnsi="Arial" w:cs="Arial"/>
                <w:i/>
              </w:rPr>
              <w:t>.</w:t>
            </w:r>
            <w:r w:rsidR="004F09C0">
              <w:rPr>
                <w:rFonts w:ascii="Arial" w:hAnsi="Arial" w:cs="Arial"/>
              </w:rPr>
              <w:t xml:space="preserve"> 2017;8:e00543</w:t>
            </w:r>
            <w:r w:rsidR="004F09C0" w:rsidRPr="00172A5C">
              <w:rPr>
                <w:rFonts w:ascii="Arial" w:hAnsi="Arial" w:cs="Arial"/>
              </w:rPr>
              <w:t>–</w:t>
            </w:r>
            <w:r w:rsidRPr="00172A5C">
              <w:rPr>
                <w:rFonts w:ascii="Arial" w:hAnsi="Arial" w:cs="Arial"/>
              </w:rPr>
              <w:t>17</w:t>
            </w:r>
          </w:p>
        </w:tc>
      </w:tr>
      <w:tr w:rsidR="0094495E" w:rsidRPr="005F3574" w14:paraId="120F5C71" w14:textId="77777777" w:rsidTr="00754516"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6D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6E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MCR3-R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6F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TTAACGAAATTGGCTGGAACA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70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</w:tr>
      <w:tr w:rsidR="0094495E" w:rsidRPr="005F3574" w14:paraId="120F5C76" w14:textId="77777777" w:rsidTr="00754516"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72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  <w:i/>
              </w:rPr>
              <w:t>mcr</w:t>
            </w:r>
            <w:r w:rsidRPr="00172A5C">
              <w:rPr>
                <w:rFonts w:ascii="Arial" w:hAnsi="Arial" w:cs="Arial"/>
              </w:rPr>
              <w:t>-4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73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Mcr-4 FW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74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ATTGGGATAGTCGCCTTTTT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75" w14:textId="22D9D0E3" w:rsidR="0094495E" w:rsidRPr="00172A5C" w:rsidRDefault="0094495E">
            <w:pPr>
              <w:rPr>
                <w:rFonts w:ascii="Arial" w:hAnsi="Arial" w:cs="Arial"/>
              </w:rPr>
            </w:pPr>
            <w:r w:rsidRPr="00B17D5E">
              <w:rPr>
                <w:rFonts w:ascii="Arial" w:hAnsi="Arial" w:cs="Arial"/>
                <w:i/>
              </w:rPr>
              <w:t>Euro Surveill</w:t>
            </w:r>
            <w:r w:rsidR="00B17D5E" w:rsidRPr="00B17D5E">
              <w:rPr>
                <w:rFonts w:ascii="Arial" w:hAnsi="Arial" w:cs="Arial"/>
                <w:i/>
              </w:rPr>
              <w:t>.</w:t>
            </w:r>
            <w:r w:rsidRPr="00B17D5E">
              <w:rPr>
                <w:rFonts w:ascii="Arial" w:hAnsi="Arial" w:cs="Arial"/>
                <w:i/>
              </w:rPr>
              <w:t xml:space="preserve"> </w:t>
            </w:r>
            <w:r w:rsidRPr="00172A5C">
              <w:rPr>
                <w:rFonts w:ascii="Arial" w:hAnsi="Arial" w:cs="Arial"/>
              </w:rPr>
              <w:t>2017;22:30589</w:t>
            </w:r>
          </w:p>
        </w:tc>
      </w:tr>
      <w:tr w:rsidR="0094495E" w:rsidRPr="005F3574" w14:paraId="120F5C7B" w14:textId="77777777" w:rsidTr="00754516"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77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78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Mcr-4 RV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79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TTACAGCCAGAATCATTATCA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C7A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</w:tr>
      <w:tr w:rsidR="0094495E" w:rsidRPr="005F3574" w14:paraId="120F5C80" w14:textId="77777777" w:rsidTr="0018152D"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7C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  <w:i/>
              </w:rPr>
              <w:t>mcr</w:t>
            </w:r>
            <w:r w:rsidRPr="00172A5C">
              <w:rPr>
                <w:rFonts w:ascii="Arial" w:hAnsi="Arial" w:cs="Arial"/>
              </w:rPr>
              <w:t>-5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0F5C7D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MCR5_fw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F5C7E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ATGCGGTTGTCTGCATTTATC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F5C7F" w14:textId="359C6E09" w:rsidR="0094495E" w:rsidRPr="00172A5C" w:rsidRDefault="0094495E">
            <w:pPr>
              <w:rPr>
                <w:rFonts w:ascii="Arial" w:hAnsi="Arial" w:cs="Arial"/>
              </w:rPr>
            </w:pPr>
            <w:r w:rsidRPr="00B17D5E">
              <w:rPr>
                <w:rFonts w:ascii="Arial" w:hAnsi="Arial" w:cs="Arial"/>
                <w:i/>
              </w:rPr>
              <w:t>J Antimicrob Chemother</w:t>
            </w:r>
            <w:r w:rsidR="00B17D5E" w:rsidRPr="00B17D5E">
              <w:rPr>
                <w:rFonts w:ascii="Arial" w:hAnsi="Arial" w:cs="Arial"/>
                <w:i/>
              </w:rPr>
              <w:t>.</w:t>
            </w:r>
            <w:r w:rsidRPr="00B17D5E">
              <w:rPr>
                <w:rFonts w:ascii="Arial" w:hAnsi="Arial" w:cs="Arial"/>
                <w:i/>
              </w:rPr>
              <w:t xml:space="preserve"> </w:t>
            </w:r>
            <w:r w:rsidR="004F09C0">
              <w:rPr>
                <w:rFonts w:ascii="Arial" w:hAnsi="Arial" w:cs="Arial"/>
              </w:rPr>
              <w:t>2017;72:3317</w:t>
            </w:r>
            <w:r w:rsidR="004F09C0" w:rsidRPr="00172A5C">
              <w:rPr>
                <w:rFonts w:ascii="Arial" w:hAnsi="Arial" w:cs="Arial"/>
              </w:rPr>
              <w:t>–</w:t>
            </w:r>
            <w:r w:rsidR="00B17D5E">
              <w:rPr>
                <w:rFonts w:ascii="Arial" w:hAnsi="Arial" w:cs="Arial"/>
              </w:rPr>
              <w:t>33</w:t>
            </w:r>
            <w:r w:rsidRPr="00172A5C">
              <w:rPr>
                <w:rFonts w:ascii="Arial" w:hAnsi="Arial" w:cs="Arial"/>
              </w:rPr>
              <w:t>24</w:t>
            </w:r>
          </w:p>
        </w:tc>
      </w:tr>
      <w:tr w:rsidR="0094495E" w:rsidRPr="005F3574" w14:paraId="120F5C85" w14:textId="77777777" w:rsidTr="0018152D"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F5C81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F5C82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MCR5_rev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F5C83" w14:textId="77777777" w:rsidR="0094495E" w:rsidRPr="00172A5C" w:rsidRDefault="0094495E">
            <w:pPr>
              <w:rPr>
                <w:rFonts w:ascii="Arial" w:hAnsi="Arial" w:cs="Arial"/>
              </w:rPr>
            </w:pPr>
            <w:r w:rsidRPr="00172A5C">
              <w:rPr>
                <w:rFonts w:ascii="Arial" w:hAnsi="Arial" w:cs="Arial"/>
              </w:rPr>
              <w:t>TCATTGTGGTTGTCCTTTTCTG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F5C84" w14:textId="77777777" w:rsidR="0094495E" w:rsidRPr="00172A5C" w:rsidRDefault="0094495E">
            <w:pPr>
              <w:rPr>
                <w:rFonts w:ascii="Arial" w:hAnsi="Arial" w:cs="Arial"/>
              </w:rPr>
            </w:pPr>
          </w:p>
        </w:tc>
      </w:tr>
    </w:tbl>
    <w:p w14:paraId="120F5CC0" w14:textId="16951E90" w:rsidR="00F30930" w:rsidRDefault="00F30930">
      <w:pPr>
        <w:rPr>
          <w:rFonts w:ascii="Times New Roman" w:hAnsi="Times New Roman" w:cs="Times New Roman"/>
        </w:rPr>
      </w:pPr>
    </w:p>
    <w:p w14:paraId="71C2404B" w14:textId="77777777" w:rsidR="00F30930" w:rsidRDefault="00F3093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04BECD8C" w14:textId="48080E7D" w:rsidR="00F30930" w:rsidRPr="00EC3377" w:rsidRDefault="00F30930" w:rsidP="00F30930">
      <w:pPr>
        <w:adjustRightInd w:val="0"/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 w:hint="eastAsia"/>
          <w:b/>
          <w:szCs w:val="24"/>
        </w:rPr>
        <w:lastRenderedPageBreak/>
        <w:t xml:space="preserve">Supplementary </w:t>
      </w:r>
      <w:r>
        <w:rPr>
          <w:rFonts w:ascii="Arial" w:hAnsi="Arial" w:cs="Arial"/>
          <w:b/>
          <w:szCs w:val="24"/>
        </w:rPr>
        <w:t xml:space="preserve">Table 2 </w:t>
      </w:r>
      <w:r w:rsidRPr="00EC3377">
        <w:rPr>
          <w:rFonts w:ascii="Arial" w:hAnsi="Arial" w:cs="Arial"/>
          <w:szCs w:val="24"/>
        </w:rPr>
        <w:t xml:space="preserve">Antimicrobial susceptibility (evaluated based </w:t>
      </w:r>
      <w:r>
        <w:rPr>
          <w:rFonts w:ascii="Arial" w:hAnsi="Arial" w:cs="Arial"/>
          <w:szCs w:val="24"/>
        </w:rPr>
        <w:t>on</w:t>
      </w:r>
      <w:r w:rsidRPr="00EC3377">
        <w:rPr>
          <w:rFonts w:ascii="Arial" w:hAnsi="Arial" w:cs="Arial"/>
          <w:szCs w:val="24"/>
        </w:rPr>
        <w:t xml:space="preserve"> criteria of the Clinical and Laboratory Standards Institute</w:t>
      </w:r>
      <w:r>
        <w:rPr>
          <w:rFonts w:ascii="Arial" w:hAnsi="Arial" w:cs="Arial"/>
          <w:szCs w:val="24"/>
        </w:rPr>
        <w:t>,</w:t>
      </w:r>
      <w:r w:rsidRPr="00EC3377">
        <w:rPr>
          <w:rFonts w:ascii="Arial" w:hAnsi="Arial" w:cs="Arial"/>
          <w:szCs w:val="24"/>
        </w:rPr>
        <w:t xml:space="preserve"> 2018</w:t>
      </w:r>
      <w:r>
        <w:rPr>
          <w:rFonts w:ascii="Arial" w:hAnsi="Arial" w:cs="Arial"/>
          <w:szCs w:val="24"/>
        </w:rPr>
        <w:t>,</w:t>
      </w:r>
      <w:r w:rsidRPr="00EC3377">
        <w:rPr>
          <w:rFonts w:ascii="Arial" w:hAnsi="Arial" w:cs="Arial"/>
          <w:szCs w:val="24"/>
        </w:rPr>
        <w:t xml:space="preserve"> and European Committee on Antimicrobial Susceptibility Testing 2018</w:t>
      </w:r>
      <w:r w:rsidRPr="00EC3377">
        <w:rPr>
          <w:rFonts w:ascii="Arial" w:hAnsi="Arial" w:cs="Arial"/>
          <w:szCs w:val="24"/>
          <w:vertAlign w:val="superscript"/>
        </w:rPr>
        <w:t>a</w:t>
      </w:r>
      <w:r w:rsidRPr="00EC3377">
        <w:rPr>
          <w:rFonts w:ascii="Arial" w:hAnsi="Arial" w:cs="Arial"/>
          <w:szCs w:val="24"/>
        </w:rPr>
        <w:t xml:space="preserve">) of bloodstream isolates of </w:t>
      </w:r>
      <w:r w:rsidRPr="00EC3377">
        <w:rPr>
          <w:rFonts w:ascii="Arial" w:hAnsi="Arial" w:cs="Arial"/>
          <w:i/>
          <w:szCs w:val="24"/>
        </w:rPr>
        <w:t>Escherichia coli</w:t>
      </w:r>
      <w:r w:rsidRPr="00EC3377">
        <w:rPr>
          <w:rFonts w:ascii="Arial" w:hAnsi="Arial" w:cs="Arial"/>
          <w:szCs w:val="24"/>
        </w:rPr>
        <w:t xml:space="preserve">, </w:t>
      </w:r>
      <w:r w:rsidRPr="00EC3377">
        <w:rPr>
          <w:rFonts w:ascii="Arial" w:hAnsi="Arial" w:cs="Arial"/>
          <w:i/>
          <w:szCs w:val="24"/>
        </w:rPr>
        <w:t>Klebsiella pneumoniae</w:t>
      </w:r>
      <w:r w:rsidRPr="00EC3377">
        <w:rPr>
          <w:rFonts w:ascii="Arial" w:hAnsi="Arial" w:cs="Arial"/>
          <w:szCs w:val="24"/>
        </w:rPr>
        <w:t xml:space="preserve">, and other gram-negative bacteria, including isolates of non-typhoid </w:t>
      </w:r>
      <w:r w:rsidRPr="00EC3377">
        <w:rPr>
          <w:rFonts w:ascii="Arial" w:hAnsi="Arial" w:cs="Arial"/>
          <w:i/>
          <w:szCs w:val="24"/>
        </w:rPr>
        <w:t>Salmonella</w:t>
      </w:r>
      <w:r w:rsidRPr="00EC3377">
        <w:rPr>
          <w:rFonts w:ascii="Arial" w:hAnsi="Arial" w:cs="Arial"/>
          <w:szCs w:val="24"/>
        </w:rPr>
        <w:t xml:space="preserve"> species from any site, fecal </w:t>
      </w:r>
      <w:r w:rsidRPr="00EC3377">
        <w:rPr>
          <w:rFonts w:ascii="Arial" w:hAnsi="Arial" w:cs="Arial"/>
          <w:i/>
          <w:szCs w:val="24"/>
        </w:rPr>
        <w:t>Shigella</w:t>
      </w:r>
      <w:r w:rsidRPr="00EC3377">
        <w:rPr>
          <w:rFonts w:ascii="Arial" w:hAnsi="Arial" w:cs="Arial"/>
          <w:szCs w:val="24"/>
        </w:rPr>
        <w:t xml:space="preserve"> species, and </w:t>
      </w:r>
      <w:r w:rsidRPr="00EC3377">
        <w:rPr>
          <w:rFonts w:ascii="Arial" w:hAnsi="Arial" w:cs="Arial"/>
          <w:i/>
          <w:szCs w:val="24"/>
        </w:rPr>
        <w:t>Neisseria gonorrhoeae</w:t>
      </w:r>
      <w:r w:rsidRPr="00EC3377">
        <w:rPr>
          <w:rFonts w:ascii="Arial" w:hAnsi="Arial" w:cs="Arial"/>
          <w:szCs w:val="24"/>
        </w:rPr>
        <w:t xml:space="preserve"> from the genitourinary system, collected from patients treated at 16 major teaching hospitals across Taiwan in 2017</w:t>
      </w:r>
    </w:p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4106"/>
        <w:gridCol w:w="1672"/>
        <w:gridCol w:w="1276"/>
        <w:gridCol w:w="1276"/>
        <w:gridCol w:w="1417"/>
        <w:gridCol w:w="1560"/>
        <w:gridCol w:w="1559"/>
      </w:tblGrid>
      <w:tr w:rsidR="00F30930" w:rsidRPr="00B52F4F" w14:paraId="1695DE7F" w14:textId="77777777" w:rsidTr="00CD6C8C">
        <w:trPr>
          <w:trHeight w:val="363"/>
        </w:trPr>
        <w:tc>
          <w:tcPr>
            <w:tcW w:w="4106" w:type="dxa"/>
            <w:vMerge w:val="restart"/>
            <w:tcBorders>
              <w:left w:val="nil"/>
              <w:right w:val="nil"/>
            </w:tcBorders>
          </w:tcPr>
          <w:p w14:paraId="26E03280" w14:textId="77777777" w:rsidR="00F30930" w:rsidRPr="00B52F4F" w:rsidRDefault="00F30930" w:rsidP="00CD6C8C">
            <w:pPr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Bacterial species (isolate no.), and antimicrobial agent tested</w:t>
            </w:r>
          </w:p>
        </w:tc>
        <w:tc>
          <w:tcPr>
            <w:tcW w:w="4224" w:type="dxa"/>
            <w:gridSpan w:val="3"/>
            <w:tcBorders>
              <w:left w:val="nil"/>
              <w:right w:val="nil"/>
            </w:tcBorders>
          </w:tcPr>
          <w:p w14:paraId="01FE2CA6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MIC (</w:t>
            </w:r>
            <w:r>
              <w:rPr>
                <w:rFonts w:ascii="Arial" w:hAnsi="Arial" w:cs="Arial"/>
                <w:b/>
                <w:szCs w:val="24"/>
              </w:rPr>
              <w:sym w:font="Symbol" w:char="F06D"/>
            </w:r>
            <w:r>
              <w:rPr>
                <w:rFonts w:ascii="Arial" w:hAnsi="Arial" w:cs="Arial"/>
                <w:b/>
                <w:szCs w:val="24"/>
              </w:rPr>
              <w:t>g/mL</w:t>
            </w:r>
            <w:r w:rsidRPr="00B52F4F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</w:tcPr>
          <w:p w14:paraId="0F038F1C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% of indicated susceptibility</w:t>
            </w:r>
          </w:p>
        </w:tc>
      </w:tr>
      <w:tr w:rsidR="00F30930" w:rsidRPr="00B52F4F" w14:paraId="6CE47872" w14:textId="77777777" w:rsidTr="00CD6C8C">
        <w:tc>
          <w:tcPr>
            <w:tcW w:w="4106" w:type="dxa"/>
            <w:vMerge/>
            <w:tcBorders>
              <w:left w:val="nil"/>
              <w:bottom w:val="nil"/>
              <w:right w:val="nil"/>
            </w:tcBorders>
          </w:tcPr>
          <w:p w14:paraId="0E8576E5" w14:textId="77777777" w:rsidR="00F30930" w:rsidRPr="00B52F4F" w:rsidRDefault="00F30930" w:rsidP="00CD6C8C">
            <w:pPr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312EF0FB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Range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0DF9317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MIC</w:t>
            </w:r>
            <w:r w:rsidRPr="00B52F4F">
              <w:rPr>
                <w:rFonts w:ascii="Arial" w:hAnsi="Arial" w:cs="Arial"/>
                <w:b/>
                <w:szCs w:val="24"/>
                <w:vertAlign w:val="subscript"/>
              </w:rPr>
              <w:t>50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C1AC540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MIC</w:t>
            </w:r>
            <w:r w:rsidRPr="00B52F4F">
              <w:rPr>
                <w:rFonts w:ascii="Arial" w:hAnsi="Arial" w:cs="Arial"/>
                <w:b/>
                <w:szCs w:val="24"/>
                <w:vertAlign w:val="subscript"/>
              </w:rPr>
              <w:t>90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A0E17AB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S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49AED8C8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I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3BF4C71" w14:textId="77777777" w:rsidR="00F30930" w:rsidRPr="00B52F4F" w:rsidRDefault="00F30930" w:rsidP="00CD6C8C">
            <w:pPr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52F4F">
              <w:rPr>
                <w:rFonts w:ascii="Arial" w:hAnsi="Arial" w:cs="Arial"/>
                <w:b/>
                <w:szCs w:val="24"/>
              </w:rPr>
              <w:t>R</w:t>
            </w:r>
          </w:p>
        </w:tc>
      </w:tr>
      <w:tr w:rsidR="00F30930" w:rsidRPr="00EC3377" w14:paraId="1FDDA15B" w14:textId="77777777" w:rsidTr="00CD6C8C"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14:paraId="13ED8EC0" w14:textId="77777777" w:rsidR="00F30930" w:rsidRPr="00EC3377" w:rsidRDefault="00F30930" w:rsidP="00CD6C8C">
            <w:pPr>
              <w:adjustRightInd w:val="0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</w:rPr>
            </w:pPr>
            <w:r w:rsidRPr="00EC3377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Escherichia coli</w:t>
            </w:r>
            <w:r w:rsidRPr="00EC3377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Pr="00EC3377">
              <w:rPr>
                <w:rFonts w:ascii="Arial" w:hAnsi="Arial" w:cs="Arial"/>
                <w:color w:val="000000" w:themeColor="text1"/>
                <w:szCs w:val="24"/>
              </w:rPr>
              <w:t>(686)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1B8A0D6E" w14:textId="77777777" w:rsidR="00F30930" w:rsidRPr="00EC3377" w:rsidRDefault="00F30930" w:rsidP="00CD6C8C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A31F8D9" w14:textId="77777777" w:rsidR="00F30930" w:rsidRPr="00EC3377" w:rsidRDefault="00F30930" w:rsidP="00CD6C8C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A24660A" w14:textId="77777777" w:rsidR="00F30930" w:rsidRPr="00EC3377" w:rsidRDefault="00F30930" w:rsidP="00CD6C8C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16B52DE" w14:textId="77777777" w:rsidR="00F30930" w:rsidRPr="00EC3377" w:rsidRDefault="00F30930" w:rsidP="00CD6C8C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7D56E231" w14:textId="77777777" w:rsidR="00F30930" w:rsidRPr="00EC3377" w:rsidRDefault="00F30930" w:rsidP="00CD6C8C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9305FF3" w14:textId="77777777" w:rsidR="00F30930" w:rsidRPr="00EC3377" w:rsidRDefault="00F30930" w:rsidP="00CD6C8C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30930" w:rsidRPr="00EC3377" w14:paraId="7D0FE42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83DCC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Amoxicillin-clavulanate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1B8908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8DA8F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98EE3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F79AE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71.1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FF8C5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B7539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17.1</w:t>
            </w:r>
          </w:p>
        </w:tc>
      </w:tr>
      <w:tr w:rsidR="00F30930" w:rsidRPr="00EC3377" w14:paraId="1ECC3B0B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5B1CECA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Piperacillin-tazobactam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15714F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CD26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4C8D6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DA236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8DF97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A8478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3.8</w:t>
            </w:r>
          </w:p>
        </w:tc>
      </w:tr>
      <w:tr w:rsidR="00F30930" w:rsidRPr="0071712E" w14:paraId="7F056E55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C01CF4B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Ceftolozane-tazobactam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C7A2FD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8AECE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B0306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3E371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94.3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D3318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1F3A1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3.5</w:t>
            </w:r>
          </w:p>
        </w:tc>
      </w:tr>
      <w:tr w:rsidR="00F30930" w:rsidRPr="0071712E" w14:paraId="0804721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E66A02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Ceftazidime-avibactam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219BF2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C7C2C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87B37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FDBDE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6AC65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48702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22E79CD5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D9A72CA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Cefoxitin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932885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A4A2E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0B68F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C5AF4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E22CC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DDB7F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18.5</w:t>
            </w:r>
          </w:p>
        </w:tc>
      </w:tr>
      <w:tr w:rsidR="00F30930" w:rsidRPr="00EC3377" w14:paraId="3F9C6A1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A7854E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Cefixime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55DB3E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CB6F2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74C50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B843E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66.9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131B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07DC5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31.0</w:t>
            </w:r>
          </w:p>
        </w:tc>
      </w:tr>
      <w:tr w:rsidR="00F30930" w:rsidRPr="00EC3377" w14:paraId="5D37F0F4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9DE910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Ceftriaxone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B02F15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F0767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FE468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E41D4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69.0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4419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88267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30.6</w:t>
            </w:r>
          </w:p>
        </w:tc>
      </w:tr>
      <w:tr w:rsidR="00F30930" w:rsidRPr="00EC3377" w14:paraId="6AC402F4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6239F0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F998A7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&gt;256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61E1C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1F745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C03B9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74.5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BC3E2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A9D7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20.4</w:t>
            </w:r>
          </w:p>
        </w:tc>
      </w:tr>
      <w:tr w:rsidR="00F30930" w:rsidRPr="00EC3377" w14:paraId="295D0542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CB2352F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Cefepime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BAF578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BD3E2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05C71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B3994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78.0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0CA73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77C21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15.0</w:t>
            </w:r>
          </w:p>
        </w:tc>
      </w:tr>
      <w:tr w:rsidR="00F30930" w:rsidRPr="00EC3377" w14:paraId="0F9A4EA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09F6AD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Ertapenem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ED2F7A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74709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10AC1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A7012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98.0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E3958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ED030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1.3</w:t>
            </w:r>
          </w:p>
        </w:tc>
      </w:tr>
      <w:tr w:rsidR="00F30930" w:rsidRPr="00EC3377" w14:paraId="50C02B97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DC93DF5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Imipenem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C5AA43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59AA8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EF651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05123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98CE7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35F9E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0.3</w:t>
            </w:r>
          </w:p>
        </w:tc>
      </w:tr>
      <w:tr w:rsidR="00F30930" w:rsidRPr="00EC3377" w14:paraId="3D797A9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7552D8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Meropenem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9C1511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4FC0B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A1B1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2A41B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27093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98EAE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0.3</w:t>
            </w:r>
          </w:p>
        </w:tc>
      </w:tr>
      <w:tr w:rsidR="00F30930" w:rsidRPr="00EC3377" w14:paraId="14586D4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8619DD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Doripenem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3F0516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6F23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B390D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C97AC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77EDE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ED6C1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</w:t>
            </w:r>
          </w:p>
        </w:tc>
      </w:tr>
      <w:tr w:rsidR="00F30930" w:rsidRPr="00EC3377" w14:paraId="29C41A3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F65C64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Ciprofloxacin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E73E76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807BC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19980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EAEFE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68.2/59.9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017DA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1.3/6.7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3F484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30.5/33.4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3D0FBA07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2D9A32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Levofloxacin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7816C8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2DFE6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86144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C3E33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69.2/63.8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F1B55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0.6/4.4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C7839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30.2/31.8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0B7382E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F6082B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Moxifloxacin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483C76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8680B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05617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7A1DA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52.8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CF70D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27FF2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47.2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4172625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971EA07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Gentamicin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22BF00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A3FC1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0A8CA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C34A4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75.4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0524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4B2FB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23.5</w:t>
            </w:r>
          </w:p>
        </w:tc>
      </w:tr>
      <w:tr w:rsidR="00F30930" w:rsidRPr="00EC3377" w14:paraId="7CAC28E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C3260F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Amikacin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3BDDB2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8CA28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442CE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7C3AC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E753A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8147C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0.4</w:t>
            </w:r>
          </w:p>
        </w:tc>
      </w:tr>
      <w:tr w:rsidR="00F30930" w:rsidRPr="00EC3377" w14:paraId="23D0821E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3AB522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Trimethoprim-sulfamethoxazole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E7ABF3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05706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B4E7D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2F228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51.2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4DA0A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1975F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48.8</w:t>
            </w:r>
          </w:p>
        </w:tc>
      </w:tr>
      <w:tr w:rsidR="00F30930" w:rsidRPr="00EC3377" w14:paraId="4C93CE0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11C8182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Tigecycline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DA10C1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59296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96B2A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50A74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2E3D3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F01CF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587C57F8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D52BE8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Colistin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A64036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E46A4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D0A8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1A428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98.8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77DCB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5B028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1.2</w:t>
            </w:r>
          </w:p>
        </w:tc>
      </w:tr>
      <w:tr w:rsidR="00F30930" w:rsidRPr="00EC3377" w14:paraId="140B694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47B30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AAB65D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EA43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9F049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80AFB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E1A74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DAC6D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21981A2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D342D5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Klebsiella pneumoniae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 xml:space="preserve"> (673)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7B79E0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36324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34CA4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40EDD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F2430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2342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39C33F0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31384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Amoxicillin-clavulanate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248759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D35F5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FC9B3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DC53D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71.8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885EE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ADA5E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24.7</w:t>
            </w:r>
          </w:p>
        </w:tc>
      </w:tr>
      <w:tr w:rsidR="00F30930" w:rsidRPr="00EC3377" w14:paraId="2C1108E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256BA5B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Piperacillin-tazobactam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437E65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8D453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A4469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35B86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81.9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EFDFD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6B43B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14.7</w:t>
            </w:r>
          </w:p>
        </w:tc>
      </w:tr>
      <w:tr w:rsidR="00F30930" w:rsidRPr="00EC3377" w14:paraId="211847FB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48EC4A8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Ceftolozane-tazobactam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41B32D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7ABC8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9F26A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9B146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84.1/80.7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6AD30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1.2/NA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2E163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14.7/19.1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1A02C7A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B8E1A8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Ceftazidime-avibactam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59CD60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CAD53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621AD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AD44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99.1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1EA0B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09335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2F184F7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7B1221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Cefoxitin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17675F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98973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EDF6F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274CD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71.9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BBFDB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0244D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25.1</w:t>
            </w:r>
          </w:p>
        </w:tc>
      </w:tr>
      <w:tr w:rsidR="00F30930" w:rsidRPr="00EC3377" w14:paraId="62A0410B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2AC594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Cefixime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8E9A74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C20D6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89096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39838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71.0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77180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E26DE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28.2</w:t>
            </w:r>
          </w:p>
        </w:tc>
      </w:tr>
      <w:tr w:rsidR="00F30930" w:rsidRPr="00EC3377" w14:paraId="2DEF21D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8EC1DF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Ceftriaxone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5462D7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4B634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2BAED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DE91F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75.9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91C91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DCE2A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22.1</w:t>
            </w:r>
          </w:p>
        </w:tc>
      </w:tr>
      <w:tr w:rsidR="00F30930" w:rsidRPr="00EC3377" w14:paraId="691300D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9F114E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0BBFB2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&gt;256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9EA5B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4921B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9E81E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73.7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EB604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D85A7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22.9</w:t>
            </w:r>
          </w:p>
        </w:tc>
      </w:tr>
      <w:tr w:rsidR="00F30930" w:rsidRPr="00EC3377" w14:paraId="18736C56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914E745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Cefepime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1F8F26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77EC9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BC969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EA76C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82.8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DC5C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DC609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14.7</w:t>
            </w:r>
          </w:p>
        </w:tc>
      </w:tr>
      <w:tr w:rsidR="00F30930" w:rsidRPr="00EC3377" w14:paraId="6D9C340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F0FD80A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Ertapenem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DDFC55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A2359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EE579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A31A1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89.5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2DB7B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ED672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7.0</w:t>
            </w:r>
          </w:p>
        </w:tc>
      </w:tr>
      <w:tr w:rsidR="00F30930" w:rsidRPr="00EC3377" w14:paraId="6E4C0A1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C8545CB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Imipenem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FD32E6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A8CF7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2C914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CD2FD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93.0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B16B6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71300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5.1</w:t>
            </w:r>
          </w:p>
        </w:tc>
      </w:tr>
      <w:tr w:rsidR="00F30930" w:rsidRPr="00EC3377" w14:paraId="0C79D4A4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62C82E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Meropenem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4A7B0A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31394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6E681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9C801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94.5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EAD99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AAF4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4.9</w:t>
            </w:r>
          </w:p>
        </w:tc>
      </w:tr>
      <w:tr w:rsidR="00F30930" w:rsidRPr="00EC3377" w14:paraId="6A0EBA0E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8DF3CD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Doripenem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72D025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BF39A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131C5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335F0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94.5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D110D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7EFF2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5.2</w:t>
            </w:r>
          </w:p>
        </w:tc>
      </w:tr>
      <w:tr w:rsidR="00F30930" w:rsidRPr="00EC3377" w14:paraId="59BA41B2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2048AEB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Ciprofloxacin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3523F6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57FB3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4D0C7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E37CB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79.5/66.4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33F8E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1.8/6.7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E19FB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18.7/26.9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67A3279B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977254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Levofloxacin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ADEDA6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6E978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839F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9562E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81.0/69.7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FED52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2.2/9.5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4553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16.8/20.8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5DDACA7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93347F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Moxifloxacin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F5D973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EFED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021F4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766C4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64.0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242A2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71A52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36.0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42632942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D95779E" w14:textId="77777777" w:rsidR="00F30930" w:rsidRPr="00435D1D" w:rsidRDefault="00F30930" w:rsidP="00CD6C8C">
            <w:pPr>
              <w:tabs>
                <w:tab w:val="center" w:pos="1803"/>
              </w:tabs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Gentamicin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ab/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A1ABA1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611DE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C601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3B88B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80.7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F7BA5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B4F6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17.4</w:t>
            </w:r>
          </w:p>
        </w:tc>
      </w:tr>
      <w:tr w:rsidR="00F30930" w:rsidRPr="00EC3377" w14:paraId="67634144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1329EFE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Amikacin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E0A643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B297A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6F97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08D46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96.9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C9288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252E0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3.1</w:t>
            </w:r>
          </w:p>
        </w:tc>
      </w:tr>
      <w:tr w:rsidR="00F30930" w:rsidRPr="00EC3377" w14:paraId="5AC78F9E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5CBCA8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Trimethoprim-sulfamethoxazole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625CBC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075B4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44647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CE13B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71.0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D88F4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FD919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29.0</w:t>
            </w:r>
          </w:p>
        </w:tc>
      </w:tr>
      <w:tr w:rsidR="00F30930" w:rsidRPr="00EC3377" w14:paraId="68FBF4F5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4DD95F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Tigecycline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3CED7F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409B5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9331D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EAEC0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94.7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6D9ED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4.0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74415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1.3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1A8093D2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4F13DF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Colistin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5E3C45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F0F92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923C8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29FE0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97.6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04638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6C442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2.4</w:t>
            </w:r>
          </w:p>
        </w:tc>
      </w:tr>
      <w:tr w:rsidR="00F30930" w:rsidRPr="00EC3377" w14:paraId="7250B97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1B3A38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3961DE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06244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AA66E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3B4F3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5BB96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E4104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5DA96127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DE9313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Non-typhoid </w:t>
            </w:r>
            <w:r w:rsidRPr="00435D1D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Salmonella</w:t>
            </w:r>
            <w:r w:rsidRPr="00435D1D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spp. 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(221)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611594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9BCEC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580F5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516A2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62231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E85FA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5070427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60101D0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Ampicillin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FAF70F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8C81F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64198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34670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51.6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612B3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C4D01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46.6</w:t>
            </w:r>
          </w:p>
        </w:tc>
      </w:tr>
      <w:tr w:rsidR="00F30930" w:rsidRPr="00EC3377" w14:paraId="67F8A99B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B2EB4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Amoxicillin-clavulanate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3F9F6E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813D8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214BF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6B1A5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81.0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DF5C7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EA422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12.2</w:t>
            </w:r>
          </w:p>
        </w:tc>
      </w:tr>
      <w:tr w:rsidR="00F30930" w:rsidRPr="00EC3377" w14:paraId="7E32BC14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98F9E8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Piperacillin-tazobactam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5C1D7F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86212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B29E8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784DD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95.5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4F6FA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7B09C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2.3</w:t>
            </w:r>
          </w:p>
        </w:tc>
      </w:tr>
      <w:tr w:rsidR="00F30930" w:rsidRPr="00EC3377" w14:paraId="17FF553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665295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Ceftolozane-tazobactam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F7B202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8C718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EBEBD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C42A0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96.4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8CC62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9A92D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2.3</w:t>
            </w:r>
          </w:p>
        </w:tc>
      </w:tr>
      <w:tr w:rsidR="00F30930" w:rsidRPr="00EC3377" w14:paraId="12267C1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975BBA2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Ceftazidime-avibactam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4AC11B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0677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FEB6F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BE276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FA760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8FD68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25687C5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97295D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Cefixime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BEAD74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52BDC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4656A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78023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87.3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F9C9E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C284A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12.2</w:t>
            </w:r>
          </w:p>
        </w:tc>
      </w:tr>
      <w:tr w:rsidR="00F30930" w:rsidRPr="00EC3377" w14:paraId="383EA91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4772F3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Ceftriaxone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B5AEC0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1DB85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35956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B097C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BBC31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378D9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5.9</w:t>
            </w:r>
          </w:p>
        </w:tc>
      </w:tr>
      <w:tr w:rsidR="00F30930" w:rsidRPr="00EC3377" w14:paraId="06BAD17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EA117A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CAD56A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&gt;256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E21CA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71564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07E36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88.2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AC62D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591D0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10.4</w:t>
            </w:r>
          </w:p>
        </w:tc>
      </w:tr>
      <w:tr w:rsidR="00F30930" w:rsidRPr="00EC3377" w14:paraId="4A04433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80164E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Cefepime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888694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3C8D1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FD3DD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3B1BF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AC433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9BA4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343E224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942D5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Ertapenem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F9D171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8B79B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C9295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43A99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CD445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C4AD6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294AD0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EB635BE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Imipenem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F38911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22FBB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20807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EC2F6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E3D0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C458F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458A458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CBDD39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Meropenem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96ADB4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6A74F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167A4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5DDF5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4EF05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680A1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6BFDA8E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7A5AB72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Doripenem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9AF085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DF8F8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910D8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C18B0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FE626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12F14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2F20854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93073CB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Ciprofloxacin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2D7166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83373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EA5C5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E4CC1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78.7/78.7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769CC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18.1/NA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69FD1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3.2/21.3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36DAA847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DA4ACD0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Levofloxacin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18662C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8772F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53047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DF232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78.7/89.6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558B0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10.9/8.6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C46EC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10.4/1.8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7EE9EA9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76796A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Moxifloxacin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51CDE9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94A6F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D6369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F8DED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79.2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8A1A2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1B070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20.8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43226AD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DA7D0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Gentamicin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EFB2FE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9EAA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5C609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F32D3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96.4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1B84E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C77D6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3.2</w:t>
            </w:r>
          </w:p>
        </w:tc>
      </w:tr>
      <w:tr w:rsidR="00F30930" w:rsidRPr="00EC3377" w14:paraId="3C50422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A69FAE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Amikacin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ECB0AE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6DB5A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DEA60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9342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60074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03293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0CC21066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07781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Trimethoprim-Sulfamethoxazole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F97BA1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CBD2C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614FB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3C076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74.2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F4F82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E09BB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25.8</w:t>
            </w:r>
          </w:p>
        </w:tc>
      </w:tr>
      <w:tr w:rsidR="00F30930" w:rsidRPr="00EC3377" w14:paraId="26296FA6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BFBE1E3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Tigecycline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9158A3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646E7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EFC40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40C5E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F4AB4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5A6D8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1623832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EACFA57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Colistin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D0C969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F95D5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7FC29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58830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53.8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A786A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E65A4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46.2</w:t>
            </w:r>
          </w:p>
        </w:tc>
      </w:tr>
      <w:tr w:rsidR="00F30930" w:rsidRPr="00EC3377" w14:paraId="40D15E4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B6A81B2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FFE7B6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D1146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099D1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DC997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F7DB0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9A2D8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2C8ED99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B1B63A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Shigella</w:t>
            </w:r>
            <w:r w:rsidRPr="00435D1D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spp.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 xml:space="preserve"> (21)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4CBA41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61C6D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5F57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764AB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1C433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4A6EF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5A54125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F3F0937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Ampicillin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051712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6DB31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7B4FD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B3D67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38.1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3631A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1A7DA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61.9</w:t>
            </w:r>
          </w:p>
        </w:tc>
      </w:tr>
      <w:tr w:rsidR="00F30930" w:rsidRPr="00EC3377" w14:paraId="26390E4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64F776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Amoxicillin-clavulanate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1A3A8C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8F447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4194F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FBBEF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38.1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DAB6C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A35D2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23543BC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5E5E90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Piperacillin-tazobactam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02A6C1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819C9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6094A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33E86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672BC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0851C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289AC298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746F58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Ceftolozane-tazobactam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DE059F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E807C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7F868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59DBF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5764A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BDF63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337E116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428004F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Ceftazidime-avibactam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DA0AE4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4B33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0AA28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09183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F2B84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94E59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45E33EC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1C2FB08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Cefoxitin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0254D4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1281E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0D231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0957A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751B4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A3684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77B04C85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9EC6F33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Cefixime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E72CAA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D4207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EE1B8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A2903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82573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594B7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373BD9F0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174910A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Ceftriaxone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FECF6E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C83C8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C6EDA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96B9C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6249B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B3727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2B0244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E248C5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Ceftazidime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B28389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0F32D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1F7C2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EC1BD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F5289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227A0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2542583E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A6D7BEF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Cefepime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538511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8CEF2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C04DD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7614C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09006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62040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0050CA0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3FFD1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Ertapenem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ADE436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CBFE8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F1ACB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7C7AA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79D75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46344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6A8EC575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6628160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Imipenem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C0A00C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CC2C9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D8023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D9AB8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96590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E30DA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05F4F45B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3A0FE5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Meropenem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880775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702D5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87309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5F056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5F8C1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8D835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30C7468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14F06A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Doripenem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FBFD67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9469B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A8E93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07213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91429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B3B8D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342F93B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7EA9AB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Ciprofloxacin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E3F26B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E17F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A97F5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874A6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61.9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3E3FC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21F13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38.1</w:t>
            </w:r>
          </w:p>
        </w:tc>
      </w:tr>
      <w:tr w:rsidR="00F30930" w:rsidRPr="00EC3377" w14:paraId="7B57F296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437B73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Levofloxacin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7E3B0A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FE157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8A8C0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2A2CC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61.9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039D8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19.0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BF7E2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19.0</w:t>
            </w:r>
          </w:p>
        </w:tc>
      </w:tr>
      <w:tr w:rsidR="00F30930" w:rsidRPr="00EC3377" w14:paraId="228687E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80262D1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Moxifloxacin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E95F5B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006F2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B621A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36241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61.9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135C2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C2F6E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38.1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44E2A56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E18AB85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Gentamicin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378D7C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FB75B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DFC7B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FCC5D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3DA7C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5AA11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1D5D496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5EF52A7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Amikacin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942B76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8278A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5B8C2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1C030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AC844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5C3B5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2D248A81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ED4E0E3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Trimethoprim-Sulfamethoxazole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7C4255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D9D31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83508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B50F9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61.9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24688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C9E36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38.1</w:t>
            </w:r>
          </w:p>
        </w:tc>
      </w:tr>
      <w:tr w:rsidR="00F30930" w:rsidRPr="00EC3377" w14:paraId="1CA2BD0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DE24C47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Azithromycin-</w:t>
            </w:r>
            <w:r w:rsidRPr="00435D1D">
              <w:rPr>
                <w:rFonts w:ascii="Arial" w:hAnsi="Arial" w:cs="Arial"/>
                <w:i/>
                <w:color w:val="000000" w:themeColor="text1"/>
                <w:szCs w:val="24"/>
              </w:rPr>
              <w:t>Shigella flexneri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 xml:space="preserve"> (17)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D9542B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2C66B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6DD30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4564C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70.6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37D75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4E3060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29.4</w:t>
            </w:r>
          </w:p>
        </w:tc>
      </w:tr>
      <w:tr w:rsidR="00F30930" w:rsidRPr="00EC3377" w14:paraId="25CE7B72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A3B5DF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Azithromycin-</w:t>
            </w:r>
            <w:r w:rsidRPr="00435D1D">
              <w:rPr>
                <w:rFonts w:ascii="Arial" w:hAnsi="Arial" w:cs="Arial"/>
                <w:i/>
                <w:color w:val="000000" w:themeColor="text1"/>
                <w:szCs w:val="24"/>
              </w:rPr>
              <w:t>Shigella sonnei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 xml:space="preserve"> (4)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2906FB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1ADF6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F8578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43380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C937C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6E12A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25</w:t>
            </w:r>
          </w:p>
        </w:tc>
      </w:tr>
      <w:tr w:rsidR="00F30930" w:rsidRPr="00EC3377" w14:paraId="3A8733B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6288A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Tigecycline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8221A8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60AA8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7BA03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BE324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9B8E8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B7CED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7311656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FD734D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Colistin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E12FBA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≤0.12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4C8CD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C3A17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1552A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0FB79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02F22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57CD358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6C6EC4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3E25EB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57B87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4D8DD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4769A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AD828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76A60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33D0BDF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68BA980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Neisseria gonorrhoeae</w:t>
            </w:r>
            <w:r w:rsidRPr="00435D1D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(129)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6F2807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36737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F7DB0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9B0DC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6CC99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7F4D99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30930" w:rsidRPr="00EC3377" w14:paraId="6A87C9E8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A13E52C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Ceftriaxone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84BB74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≤0.015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C3070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F117B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26C91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100/99.2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FCCDC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6EDFA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NA/0.8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2E5DFE6D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659A836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Cefotaxime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897252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≤0.03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78A3E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35B0B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C9FCE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100/89.1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F722D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FFBF6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NA/10.9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0FFC3EF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6F65DAF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Cefixime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474E45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≤0.03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69527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8DB68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9F8F2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96.1/89.1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44145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NA/NA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CD8F3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NA/10.9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  <w:tr w:rsidR="00F30930" w:rsidRPr="00EC3377" w14:paraId="124185C9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B0891F3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Cefpodoxime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2D3F9A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≤0.03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D8ED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FD2AF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66184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89.9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BF224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92011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</w:tr>
      <w:tr w:rsidR="00F30930" w:rsidRPr="00EC3377" w14:paraId="4C980C53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6B63819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Ciprofloxacin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7930D3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≤0.008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6FEE9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212CB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BD26B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84450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59F1A5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97.7</w:t>
            </w:r>
          </w:p>
        </w:tc>
      </w:tr>
      <w:tr w:rsidR="00F30930" w:rsidRPr="00EC3377" w14:paraId="4ED11C5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01DADA3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Spectinomycin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D9B05C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38982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31EC9D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4F03E7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97.7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55A22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2.3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3A40B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F30930" w:rsidRPr="00EC3377" w14:paraId="34E8811A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73A4BCB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Doxycycline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27A781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5D35C3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E450E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00B0AB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86688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65367F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</w:tr>
      <w:tr w:rsidR="00F30930" w:rsidRPr="00EC3377" w14:paraId="1199A79F" w14:textId="77777777" w:rsidTr="00CD6C8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AD898D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Tigecycline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A82CE8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0.06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39BE8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4EFE5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7FF30C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9BE9FA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6BF4C2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</w:t>
            </w:r>
          </w:p>
        </w:tc>
      </w:tr>
      <w:tr w:rsidR="00F30930" w:rsidRPr="00EC3377" w14:paraId="25670A7E" w14:textId="77777777" w:rsidTr="00CD6C8C">
        <w:tc>
          <w:tcPr>
            <w:tcW w:w="4106" w:type="dxa"/>
            <w:tcBorders>
              <w:top w:val="nil"/>
              <w:left w:val="nil"/>
              <w:right w:val="nil"/>
            </w:tcBorders>
          </w:tcPr>
          <w:p w14:paraId="4EC03CE0" w14:textId="77777777" w:rsidR="00F30930" w:rsidRPr="00435D1D" w:rsidRDefault="00F30930" w:rsidP="00CD6C8C">
            <w:pPr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Azithromycin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</w:tcPr>
          <w:p w14:paraId="3FEC4D78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≤0.03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–</w:t>
            </w:r>
            <w:r w:rsidRPr="00435D1D">
              <w:rPr>
                <w:rFonts w:ascii="Arial" w:hAnsi="Arial" w:cs="Arial"/>
                <w:color w:val="000000" w:themeColor="text1"/>
                <w:szCs w:val="24"/>
              </w:rPr>
              <w:t>&gt;32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764C43E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FC95B9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ACB53E6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96.9/60.5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355E6031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NA/31.0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09D1624" w14:textId="77777777" w:rsidR="00F30930" w:rsidRPr="00435D1D" w:rsidRDefault="00F30930" w:rsidP="00CD6C8C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435D1D">
              <w:rPr>
                <w:rFonts w:ascii="Arial" w:hAnsi="Arial" w:cs="Arial"/>
                <w:color w:val="000000" w:themeColor="text1"/>
                <w:szCs w:val="24"/>
              </w:rPr>
              <w:t>3.1/8.5</w:t>
            </w:r>
            <w:r w:rsidRPr="00435D1D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a</w:t>
            </w:r>
          </w:p>
        </w:tc>
      </w:tr>
    </w:tbl>
    <w:p w14:paraId="7D0A4C14" w14:textId="77777777" w:rsidR="00F30930" w:rsidRPr="00C04285" w:rsidRDefault="00F30930" w:rsidP="00F30930">
      <w:pPr>
        <w:adjustRightInd w:val="0"/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EC3377">
        <w:rPr>
          <w:rFonts w:ascii="Arial" w:hAnsi="Arial" w:cs="Arial"/>
          <w:color w:val="000000" w:themeColor="text1"/>
          <w:szCs w:val="24"/>
        </w:rPr>
        <w:t>NA, non-applicable; MIC, minimum inhibitory concentration; S, susceptible; I, intermediate;</w:t>
      </w:r>
      <w:r>
        <w:rPr>
          <w:rFonts w:ascii="Arial" w:hAnsi="Arial" w:cs="Arial"/>
          <w:color w:val="000000" w:themeColor="text1"/>
          <w:szCs w:val="24"/>
        </w:rPr>
        <w:t xml:space="preserve"> R, resistan</w:t>
      </w:r>
      <w:r>
        <w:rPr>
          <w:rFonts w:ascii="Arial" w:hAnsi="Arial" w:cs="Arial" w:hint="eastAsia"/>
          <w:color w:val="000000" w:themeColor="text1"/>
          <w:szCs w:val="24"/>
        </w:rPr>
        <w:t>t</w:t>
      </w:r>
    </w:p>
    <w:p w14:paraId="50C7A86C" w14:textId="77777777" w:rsidR="00383950" w:rsidRPr="005F3574" w:rsidRDefault="00383950">
      <w:pPr>
        <w:rPr>
          <w:rFonts w:ascii="Times New Roman" w:hAnsi="Times New Roman" w:cs="Times New Roman"/>
        </w:rPr>
      </w:pPr>
    </w:p>
    <w:sectPr w:rsidR="00383950" w:rsidRPr="005F3574" w:rsidSect="005F3574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C1BEE" w14:textId="77777777" w:rsidR="00574DF6" w:rsidRDefault="00574DF6" w:rsidP="00134D99">
      <w:r>
        <w:separator/>
      </w:r>
    </w:p>
  </w:endnote>
  <w:endnote w:type="continuationSeparator" w:id="0">
    <w:p w14:paraId="7616B45C" w14:textId="77777777" w:rsidR="00574DF6" w:rsidRDefault="00574DF6" w:rsidP="001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742E8" w14:textId="77777777" w:rsidR="00574DF6" w:rsidRDefault="00574DF6" w:rsidP="00134D99">
      <w:r>
        <w:separator/>
      </w:r>
    </w:p>
  </w:footnote>
  <w:footnote w:type="continuationSeparator" w:id="0">
    <w:p w14:paraId="306F77EE" w14:textId="77777777" w:rsidR="00574DF6" w:rsidRDefault="00574DF6" w:rsidP="0013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D5346"/>
    <w:multiLevelType w:val="hybridMultilevel"/>
    <w:tmpl w:val="78F6D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A5"/>
    <w:rsid w:val="000A0ABD"/>
    <w:rsid w:val="000F5988"/>
    <w:rsid w:val="00101488"/>
    <w:rsid w:val="00134D99"/>
    <w:rsid w:val="00141EE6"/>
    <w:rsid w:val="00172A5C"/>
    <w:rsid w:val="0018152D"/>
    <w:rsid w:val="001A14A5"/>
    <w:rsid w:val="001D12B8"/>
    <w:rsid w:val="0020367E"/>
    <w:rsid w:val="00383950"/>
    <w:rsid w:val="00385CA4"/>
    <w:rsid w:val="003B22AC"/>
    <w:rsid w:val="003C5D82"/>
    <w:rsid w:val="004562CD"/>
    <w:rsid w:val="004C3457"/>
    <w:rsid w:val="004E6322"/>
    <w:rsid w:val="004F09C0"/>
    <w:rsid w:val="00574DF6"/>
    <w:rsid w:val="005F3574"/>
    <w:rsid w:val="006020A8"/>
    <w:rsid w:val="006C386A"/>
    <w:rsid w:val="00707C4B"/>
    <w:rsid w:val="00716744"/>
    <w:rsid w:val="0075096A"/>
    <w:rsid w:val="00754516"/>
    <w:rsid w:val="00773201"/>
    <w:rsid w:val="007B06AB"/>
    <w:rsid w:val="00835AD2"/>
    <w:rsid w:val="008E6FE3"/>
    <w:rsid w:val="00921D5E"/>
    <w:rsid w:val="0094495E"/>
    <w:rsid w:val="009B514C"/>
    <w:rsid w:val="00A71BBF"/>
    <w:rsid w:val="00AB249E"/>
    <w:rsid w:val="00AF5CEE"/>
    <w:rsid w:val="00B17D5E"/>
    <w:rsid w:val="00C527C8"/>
    <w:rsid w:val="00C618F9"/>
    <w:rsid w:val="00C80737"/>
    <w:rsid w:val="00C8283A"/>
    <w:rsid w:val="00CF1582"/>
    <w:rsid w:val="00D81199"/>
    <w:rsid w:val="00EB2E52"/>
    <w:rsid w:val="00F13A69"/>
    <w:rsid w:val="00F30930"/>
    <w:rsid w:val="00F97E3B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0F5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8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4D9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34D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930"/>
    <w:pPr>
      <w:ind w:leftChars="200" w:left="480"/>
    </w:pPr>
  </w:style>
  <w:style w:type="character" w:customStyle="1" w:styleId="highlight">
    <w:name w:val="highlight"/>
    <w:basedOn w:val="DefaultParagraphFont"/>
    <w:rsid w:val="00F30930"/>
  </w:style>
  <w:style w:type="character" w:styleId="Hyperlink">
    <w:name w:val="Hyperlink"/>
    <w:basedOn w:val="DefaultParagraphFont"/>
    <w:uiPriority w:val="99"/>
    <w:unhideWhenUsed/>
    <w:rsid w:val="00F309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093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3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2018-09-18T01:29:00Z</dcterms:created>
  <dcterms:modified xsi:type="dcterms:W3CDTF">2018-09-18T01:29:00Z</dcterms:modified>
</cp:coreProperties>
</file>