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6D406" w14:textId="77777777" w:rsidR="0099302C" w:rsidRPr="001F2C43" w:rsidRDefault="0099302C" w:rsidP="0099302C">
      <w:pPr>
        <w:rPr>
          <w:rFonts w:hAnsi="Calibri"/>
          <w:b/>
          <w:color w:val="000000" w:themeColor="text1"/>
          <w:kern w:val="24"/>
          <w:sz w:val="28"/>
        </w:rPr>
      </w:pPr>
      <w:r w:rsidRPr="00CF20A2">
        <w:rPr>
          <w:rFonts w:hAnsi="Calibri"/>
          <w:b/>
          <w:color w:val="000000" w:themeColor="text1"/>
          <w:kern w:val="24"/>
          <w:sz w:val="28"/>
        </w:rPr>
        <w:t>Suppl</w:t>
      </w:r>
      <w:r w:rsidRPr="001F2C43">
        <w:rPr>
          <w:rFonts w:hAnsi="Calibri"/>
          <w:b/>
          <w:color w:val="000000" w:themeColor="text1"/>
          <w:kern w:val="24"/>
          <w:sz w:val="28"/>
        </w:rPr>
        <w:t>ementary appendix</w:t>
      </w:r>
    </w:p>
    <w:p w14:paraId="2760D1F5" w14:textId="41C9250B" w:rsidR="0099302C" w:rsidRDefault="0099302C" w:rsidP="0099302C">
      <w:pPr>
        <w:rPr>
          <w:b/>
          <w:bCs/>
        </w:rPr>
      </w:pPr>
      <w:r w:rsidRPr="00743398">
        <w:rPr>
          <w:b/>
          <w:bCs/>
        </w:rPr>
        <w:t xml:space="preserve">Table S1: </w:t>
      </w:r>
      <w:r>
        <w:rPr>
          <w:b/>
          <w:bCs/>
        </w:rPr>
        <w:t>Comparative dosing of ICS</w:t>
      </w:r>
      <w:r w:rsidRPr="00743398">
        <w:rPr>
          <w:b/>
          <w:bCs/>
        </w:rPr>
        <w:t xml:space="preserve"> </w:t>
      </w:r>
      <w:r>
        <w:rPr>
          <w:b/>
          <w:bCs/>
        </w:rPr>
        <w:t>(GINA 202</w:t>
      </w:r>
      <w:r w:rsidR="00D7538E">
        <w:rPr>
          <w:b/>
          <w:bCs/>
        </w:rPr>
        <w:t>3</w:t>
      </w:r>
      <w:r>
        <w:rPr>
          <w:b/>
          <w:bCs/>
        </w:rPr>
        <w:t xml:space="preserve"> and NAEPP 2007)</w:t>
      </w: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5665"/>
        <w:gridCol w:w="1418"/>
        <w:gridCol w:w="1417"/>
        <w:gridCol w:w="1418"/>
      </w:tblGrid>
      <w:tr w:rsidR="0099302C" w:rsidRPr="00462C32" w14:paraId="540CA74D" w14:textId="77777777" w:rsidTr="00AD5ED4">
        <w:trPr>
          <w:trHeight w:val="70"/>
        </w:trPr>
        <w:tc>
          <w:tcPr>
            <w:tcW w:w="5665" w:type="dxa"/>
            <w:vMerge w:val="restart"/>
            <w:vAlign w:val="center"/>
            <w:hideMark/>
          </w:tcPr>
          <w:p w14:paraId="48636D82" w14:textId="77777777" w:rsidR="0099302C" w:rsidRPr="00545F56" w:rsidRDefault="0099302C" w:rsidP="00AD5ED4">
            <w:pPr>
              <w:jc w:val="center"/>
              <w:rPr>
                <w:b/>
              </w:rPr>
            </w:pPr>
            <w:r w:rsidRPr="00545F56">
              <w:rPr>
                <w:b/>
              </w:rPr>
              <w:t>Inhaled corticosteroid</w:t>
            </w:r>
          </w:p>
        </w:tc>
        <w:tc>
          <w:tcPr>
            <w:tcW w:w="4253" w:type="dxa"/>
            <w:gridSpan w:val="3"/>
            <w:vAlign w:val="center"/>
            <w:hideMark/>
          </w:tcPr>
          <w:p w14:paraId="296CF556" w14:textId="77777777" w:rsidR="0099302C" w:rsidRPr="00462C32" w:rsidRDefault="0099302C" w:rsidP="00AD5ED4">
            <w:pPr>
              <w:jc w:val="center"/>
            </w:pPr>
            <w:r>
              <w:rPr>
                <w:b/>
                <w:bCs/>
              </w:rPr>
              <w:t>Total daily ICS dose (</w:t>
            </w:r>
            <w:r>
              <w:rPr>
                <w:rFonts w:cstheme="minorHAnsi"/>
                <w:b/>
                <w:bCs/>
              </w:rPr>
              <w:t>µ</w:t>
            </w:r>
            <w:r>
              <w:rPr>
                <w:b/>
                <w:bCs/>
              </w:rPr>
              <w:t>g)</w:t>
            </w:r>
          </w:p>
        </w:tc>
      </w:tr>
      <w:tr w:rsidR="0099302C" w:rsidRPr="00462C32" w14:paraId="1695FDE5" w14:textId="77777777" w:rsidTr="00AD5ED4">
        <w:trPr>
          <w:trHeight w:val="70"/>
        </w:trPr>
        <w:tc>
          <w:tcPr>
            <w:tcW w:w="5665" w:type="dxa"/>
            <w:vMerge/>
            <w:vAlign w:val="center"/>
          </w:tcPr>
          <w:p w14:paraId="047B249F" w14:textId="77777777" w:rsidR="0099302C" w:rsidRDefault="0099302C" w:rsidP="00AD5ED4">
            <w:pPr>
              <w:jc w:val="center"/>
            </w:pPr>
          </w:p>
        </w:tc>
        <w:tc>
          <w:tcPr>
            <w:tcW w:w="1418" w:type="dxa"/>
            <w:vAlign w:val="center"/>
          </w:tcPr>
          <w:p w14:paraId="03388D9B" w14:textId="77777777" w:rsidR="0099302C" w:rsidRPr="00462C32" w:rsidRDefault="0099302C" w:rsidP="00AD5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Low</w:t>
            </w:r>
          </w:p>
        </w:tc>
        <w:tc>
          <w:tcPr>
            <w:tcW w:w="1417" w:type="dxa"/>
            <w:vAlign w:val="center"/>
          </w:tcPr>
          <w:p w14:paraId="2B9D1C5F" w14:textId="77777777" w:rsidR="0099302C" w:rsidRPr="00462C32" w:rsidRDefault="0099302C" w:rsidP="00AD5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Medium</w:t>
            </w:r>
          </w:p>
        </w:tc>
        <w:tc>
          <w:tcPr>
            <w:tcW w:w="1418" w:type="dxa"/>
            <w:vAlign w:val="center"/>
          </w:tcPr>
          <w:p w14:paraId="455630AC" w14:textId="77777777" w:rsidR="0099302C" w:rsidRPr="00462C32" w:rsidRDefault="0099302C" w:rsidP="00AD5ED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High</w:t>
            </w:r>
          </w:p>
        </w:tc>
      </w:tr>
      <w:tr w:rsidR="0099302C" w:rsidRPr="00462C32" w14:paraId="30F7E3F1" w14:textId="77777777" w:rsidTr="00AD5ED4">
        <w:trPr>
          <w:trHeight w:val="70"/>
        </w:trPr>
        <w:tc>
          <w:tcPr>
            <w:tcW w:w="9918" w:type="dxa"/>
            <w:gridSpan w:val="4"/>
            <w:shd w:val="clear" w:color="auto" w:fill="D9D9D9" w:themeFill="background1" w:themeFillShade="D9"/>
            <w:vAlign w:val="center"/>
          </w:tcPr>
          <w:p w14:paraId="1339F1A4" w14:textId="77777777" w:rsidR="0099302C" w:rsidRPr="00CB3877" w:rsidRDefault="0099302C" w:rsidP="00AD5ED4">
            <w:pPr>
              <w:rPr>
                <w:b/>
              </w:rPr>
            </w:pPr>
            <w:r w:rsidRPr="00CF20A2">
              <w:rPr>
                <w:b/>
              </w:rPr>
              <w:t xml:space="preserve">GINA 2021 (adults and adolescents </w:t>
            </w:r>
            <w:r w:rsidRPr="00CB3877">
              <w:rPr>
                <w:b/>
              </w:rPr>
              <w:t>≥12 years)</w:t>
            </w:r>
          </w:p>
        </w:tc>
      </w:tr>
      <w:tr w:rsidR="0099302C" w:rsidRPr="00462C32" w14:paraId="56B8F621" w14:textId="77777777" w:rsidTr="00AD5ED4">
        <w:trPr>
          <w:trHeight w:val="70"/>
        </w:trPr>
        <w:tc>
          <w:tcPr>
            <w:tcW w:w="5665" w:type="dxa"/>
            <w:vAlign w:val="center"/>
            <w:hideMark/>
          </w:tcPr>
          <w:p w14:paraId="30F05358" w14:textId="77777777" w:rsidR="0099302C" w:rsidRPr="0058177F" w:rsidRDefault="0099302C" w:rsidP="00AD5ED4">
            <w:r>
              <w:rPr>
                <w:bCs/>
              </w:rPr>
              <w:t>Beclometasone dipropionate (pMDI, standard particle, HFA)</w:t>
            </w:r>
          </w:p>
        </w:tc>
        <w:tc>
          <w:tcPr>
            <w:tcW w:w="1418" w:type="dxa"/>
            <w:vAlign w:val="center"/>
          </w:tcPr>
          <w:p w14:paraId="0EBA12B1" w14:textId="77777777" w:rsidR="0099302C" w:rsidRPr="00027BA7" w:rsidRDefault="0099302C" w:rsidP="00AD5ED4">
            <w:pPr>
              <w:jc w:val="center"/>
            </w:pPr>
            <w:r>
              <w:t>200–500</w:t>
            </w:r>
          </w:p>
        </w:tc>
        <w:tc>
          <w:tcPr>
            <w:tcW w:w="1417" w:type="dxa"/>
            <w:vAlign w:val="center"/>
          </w:tcPr>
          <w:p w14:paraId="136BBADD" w14:textId="77777777" w:rsidR="0099302C" w:rsidRPr="00027BA7" w:rsidRDefault="0099302C" w:rsidP="00AD5ED4">
            <w:pPr>
              <w:jc w:val="center"/>
            </w:pPr>
            <w:r>
              <w:t>&gt;500–1,000</w:t>
            </w:r>
          </w:p>
        </w:tc>
        <w:tc>
          <w:tcPr>
            <w:tcW w:w="1418" w:type="dxa"/>
            <w:vAlign w:val="center"/>
          </w:tcPr>
          <w:p w14:paraId="26EC6A5B" w14:textId="77777777" w:rsidR="0099302C" w:rsidRPr="00027BA7" w:rsidRDefault="0099302C" w:rsidP="00AD5ED4">
            <w:pPr>
              <w:jc w:val="center"/>
            </w:pPr>
            <w:r>
              <w:t>&gt;1,000</w:t>
            </w:r>
          </w:p>
        </w:tc>
      </w:tr>
      <w:tr w:rsidR="0099302C" w:rsidRPr="00462C32" w14:paraId="11684409" w14:textId="77777777" w:rsidTr="00AD5ED4">
        <w:trPr>
          <w:trHeight w:val="70"/>
        </w:trPr>
        <w:tc>
          <w:tcPr>
            <w:tcW w:w="5665" w:type="dxa"/>
            <w:vAlign w:val="center"/>
          </w:tcPr>
          <w:p w14:paraId="10C73E5C" w14:textId="77777777" w:rsidR="0099302C" w:rsidRDefault="0099302C" w:rsidP="00AD5ED4">
            <w:pPr>
              <w:rPr>
                <w:bCs/>
              </w:rPr>
            </w:pPr>
            <w:r>
              <w:rPr>
                <w:bCs/>
              </w:rPr>
              <w:t>Beclometasone dipropionate (DPI or pMDI, extrafine particle, HFA)</w:t>
            </w:r>
          </w:p>
        </w:tc>
        <w:tc>
          <w:tcPr>
            <w:tcW w:w="1418" w:type="dxa"/>
            <w:vAlign w:val="center"/>
          </w:tcPr>
          <w:p w14:paraId="46B01841" w14:textId="77777777" w:rsidR="0099302C" w:rsidRPr="00027BA7" w:rsidRDefault="0099302C" w:rsidP="00AD5ED4">
            <w:pPr>
              <w:jc w:val="center"/>
            </w:pPr>
            <w:r>
              <w:t>100–200</w:t>
            </w:r>
          </w:p>
        </w:tc>
        <w:tc>
          <w:tcPr>
            <w:tcW w:w="1417" w:type="dxa"/>
            <w:vAlign w:val="center"/>
          </w:tcPr>
          <w:p w14:paraId="6C9F3E5E" w14:textId="77777777" w:rsidR="0099302C" w:rsidRPr="00027BA7" w:rsidRDefault="0099302C" w:rsidP="00AD5ED4">
            <w:pPr>
              <w:jc w:val="center"/>
            </w:pPr>
            <w:r>
              <w:t>&gt;200–400</w:t>
            </w:r>
          </w:p>
        </w:tc>
        <w:tc>
          <w:tcPr>
            <w:tcW w:w="1418" w:type="dxa"/>
            <w:vAlign w:val="center"/>
          </w:tcPr>
          <w:p w14:paraId="3428844D" w14:textId="77777777" w:rsidR="0099302C" w:rsidRPr="00027BA7" w:rsidRDefault="0099302C" w:rsidP="00AD5ED4">
            <w:pPr>
              <w:jc w:val="center"/>
            </w:pPr>
            <w:r>
              <w:t>&gt;400</w:t>
            </w:r>
          </w:p>
        </w:tc>
      </w:tr>
      <w:tr w:rsidR="0099302C" w:rsidRPr="00462C32" w14:paraId="715D0157" w14:textId="77777777" w:rsidTr="00AD5ED4">
        <w:trPr>
          <w:trHeight w:val="70"/>
        </w:trPr>
        <w:tc>
          <w:tcPr>
            <w:tcW w:w="5665" w:type="dxa"/>
            <w:vAlign w:val="center"/>
          </w:tcPr>
          <w:p w14:paraId="6806BA60" w14:textId="77777777" w:rsidR="0099302C" w:rsidRDefault="0099302C" w:rsidP="00AD5ED4">
            <w:pPr>
              <w:rPr>
                <w:bCs/>
              </w:rPr>
            </w:pPr>
            <w:r>
              <w:rPr>
                <w:bCs/>
              </w:rPr>
              <w:t>Budesonide (DPI or pMDI, standard particle, HFA)</w:t>
            </w:r>
          </w:p>
        </w:tc>
        <w:tc>
          <w:tcPr>
            <w:tcW w:w="1418" w:type="dxa"/>
            <w:vAlign w:val="center"/>
          </w:tcPr>
          <w:p w14:paraId="6528DC0D" w14:textId="77777777" w:rsidR="0099302C" w:rsidRPr="00027BA7" w:rsidRDefault="0099302C" w:rsidP="00AD5ED4">
            <w:pPr>
              <w:jc w:val="center"/>
            </w:pPr>
            <w:r>
              <w:t>200–400</w:t>
            </w:r>
          </w:p>
        </w:tc>
        <w:tc>
          <w:tcPr>
            <w:tcW w:w="1417" w:type="dxa"/>
            <w:vAlign w:val="center"/>
          </w:tcPr>
          <w:p w14:paraId="6B8EBD21" w14:textId="77777777" w:rsidR="0099302C" w:rsidRPr="00027BA7" w:rsidRDefault="0099302C" w:rsidP="00AD5ED4">
            <w:pPr>
              <w:jc w:val="center"/>
            </w:pPr>
            <w:r>
              <w:t>&gt;400–800</w:t>
            </w:r>
          </w:p>
        </w:tc>
        <w:tc>
          <w:tcPr>
            <w:tcW w:w="1418" w:type="dxa"/>
            <w:vAlign w:val="center"/>
          </w:tcPr>
          <w:p w14:paraId="5DFA9618" w14:textId="77777777" w:rsidR="0099302C" w:rsidRPr="00027BA7" w:rsidRDefault="0099302C" w:rsidP="00AD5ED4">
            <w:pPr>
              <w:jc w:val="center"/>
            </w:pPr>
            <w:r>
              <w:t>&gt;800</w:t>
            </w:r>
          </w:p>
        </w:tc>
      </w:tr>
      <w:tr w:rsidR="0099302C" w:rsidRPr="00462C32" w14:paraId="4154D8D7" w14:textId="77777777" w:rsidTr="00AD5ED4">
        <w:trPr>
          <w:trHeight w:val="70"/>
        </w:trPr>
        <w:tc>
          <w:tcPr>
            <w:tcW w:w="5665" w:type="dxa"/>
            <w:vAlign w:val="center"/>
          </w:tcPr>
          <w:p w14:paraId="180952A8" w14:textId="77777777" w:rsidR="0099302C" w:rsidRDefault="0099302C" w:rsidP="00AD5ED4">
            <w:pPr>
              <w:rPr>
                <w:bCs/>
              </w:rPr>
            </w:pPr>
            <w:r>
              <w:rPr>
                <w:bCs/>
              </w:rPr>
              <w:t>Ciclesonide (pMDI, extrafine particle, HFA)</w:t>
            </w:r>
          </w:p>
        </w:tc>
        <w:tc>
          <w:tcPr>
            <w:tcW w:w="1418" w:type="dxa"/>
            <w:vAlign w:val="center"/>
          </w:tcPr>
          <w:p w14:paraId="38B4A7CF" w14:textId="77777777" w:rsidR="0099302C" w:rsidRPr="00027BA7" w:rsidRDefault="0099302C" w:rsidP="00AD5ED4">
            <w:pPr>
              <w:jc w:val="center"/>
            </w:pPr>
            <w:r>
              <w:t>80–160</w:t>
            </w:r>
          </w:p>
        </w:tc>
        <w:tc>
          <w:tcPr>
            <w:tcW w:w="1417" w:type="dxa"/>
            <w:vAlign w:val="center"/>
          </w:tcPr>
          <w:p w14:paraId="0596938F" w14:textId="77777777" w:rsidR="0099302C" w:rsidRPr="00027BA7" w:rsidRDefault="0099302C" w:rsidP="00AD5ED4">
            <w:pPr>
              <w:jc w:val="center"/>
            </w:pPr>
            <w:r>
              <w:t>&gt;160–320</w:t>
            </w:r>
          </w:p>
        </w:tc>
        <w:tc>
          <w:tcPr>
            <w:tcW w:w="1418" w:type="dxa"/>
            <w:vAlign w:val="center"/>
          </w:tcPr>
          <w:p w14:paraId="7CA782E0" w14:textId="77777777" w:rsidR="0099302C" w:rsidRPr="00027BA7" w:rsidRDefault="0099302C" w:rsidP="00AD5ED4">
            <w:pPr>
              <w:jc w:val="center"/>
            </w:pPr>
            <w:r>
              <w:t>&gt;320</w:t>
            </w:r>
          </w:p>
        </w:tc>
      </w:tr>
      <w:tr w:rsidR="0099302C" w:rsidRPr="00462C32" w14:paraId="4631B694" w14:textId="77777777" w:rsidTr="00AD5ED4">
        <w:trPr>
          <w:trHeight w:val="70"/>
        </w:trPr>
        <w:tc>
          <w:tcPr>
            <w:tcW w:w="5665" w:type="dxa"/>
            <w:vAlign w:val="center"/>
          </w:tcPr>
          <w:p w14:paraId="6F0F878B" w14:textId="77777777" w:rsidR="0099302C" w:rsidRDefault="0099302C" w:rsidP="00AD5ED4">
            <w:pPr>
              <w:rPr>
                <w:bCs/>
              </w:rPr>
            </w:pPr>
            <w:r>
              <w:rPr>
                <w:bCs/>
              </w:rPr>
              <w:t>Fluticasone furoate (DPI)</w:t>
            </w:r>
          </w:p>
        </w:tc>
        <w:tc>
          <w:tcPr>
            <w:tcW w:w="2835" w:type="dxa"/>
            <w:gridSpan w:val="2"/>
            <w:vAlign w:val="center"/>
          </w:tcPr>
          <w:p w14:paraId="41CFDEB9" w14:textId="77777777" w:rsidR="0099302C" w:rsidRPr="00027BA7" w:rsidRDefault="0099302C" w:rsidP="00AD5ED4">
            <w:pPr>
              <w:jc w:val="center"/>
            </w:pPr>
            <w:r>
              <w:t>100</w:t>
            </w:r>
          </w:p>
        </w:tc>
        <w:tc>
          <w:tcPr>
            <w:tcW w:w="1418" w:type="dxa"/>
            <w:vAlign w:val="center"/>
          </w:tcPr>
          <w:p w14:paraId="5EA04987" w14:textId="77777777" w:rsidR="0099302C" w:rsidRPr="00027BA7" w:rsidRDefault="0099302C" w:rsidP="00AD5ED4">
            <w:pPr>
              <w:jc w:val="center"/>
            </w:pPr>
            <w:r>
              <w:t>200</w:t>
            </w:r>
          </w:p>
        </w:tc>
      </w:tr>
      <w:tr w:rsidR="0099302C" w:rsidRPr="00462C32" w14:paraId="10E37C67" w14:textId="77777777" w:rsidTr="00AD5ED4">
        <w:trPr>
          <w:trHeight w:val="70"/>
        </w:trPr>
        <w:tc>
          <w:tcPr>
            <w:tcW w:w="5665" w:type="dxa"/>
            <w:vAlign w:val="center"/>
          </w:tcPr>
          <w:p w14:paraId="7C36333D" w14:textId="77777777" w:rsidR="0099302C" w:rsidRDefault="0099302C" w:rsidP="00AD5ED4">
            <w:pPr>
              <w:rPr>
                <w:bCs/>
              </w:rPr>
            </w:pPr>
            <w:r>
              <w:rPr>
                <w:bCs/>
              </w:rPr>
              <w:t>Fluticasone propionate (DPI)</w:t>
            </w:r>
          </w:p>
        </w:tc>
        <w:tc>
          <w:tcPr>
            <w:tcW w:w="1418" w:type="dxa"/>
            <w:vAlign w:val="center"/>
          </w:tcPr>
          <w:p w14:paraId="4658A571" w14:textId="77777777" w:rsidR="0099302C" w:rsidRPr="00027BA7" w:rsidRDefault="0099302C" w:rsidP="00AD5ED4">
            <w:pPr>
              <w:jc w:val="center"/>
            </w:pPr>
            <w:r>
              <w:t>100–250</w:t>
            </w:r>
          </w:p>
        </w:tc>
        <w:tc>
          <w:tcPr>
            <w:tcW w:w="1417" w:type="dxa"/>
            <w:vAlign w:val="center"/>
          </w:tcPr>
          <w:p w14:paraId="51CFCAAC" w14:textId="77777777" w:rsidR="0099302C" w:rsidRPr="00027BA7" w:rsidRDefault="0099302C" w:rsidP="00AD5ED4">
            <w:pPr>
              <w:jc w:val="center"/>
            </w:pPr>
            <w:r>
              <w:t>&gt;250–500</w:t>
            </w:r>
          </w:p>
        </w:tc>
        <w:tc>
          <w:tcPr>
            <w:tcW w:w="1418" w:type="dxa"/>
            <w:vAlign w:val="center"/>
          </w:tcPr>
          <w:p w14:paraId="2B9F1488" w14:textId="77777777" w:rsidR="0099302C" w:rsidRPr="00027BA7" w:rsidRDefault="0099302C" w:rsidP="00AD5ED4">
            <w:pPr>
              <w:jc w:val="center"/>
            </w:pPr>
            <w:r>
              <w:t>&gt;500</w:t>
            </w:r>
          </w:p>
        </w:tc>
      </w:tr>
      <w:tr w:rsidR="0099302C" w:rsidRPr="00462C32" w14:paraId="5181902E" w14:textId="77777777" w:rsidTr="00AD5ED4">
        <w:trPr>
          <w:trHeight w:val="70"/>
        </w:trPr>
        <w:tc>
          <w:tcPr>
            <w:tcW w:w="5665" w:type="dxa"/>
            <w:vAlign w:val="center"/>
          </w:tcPr>
          <w:p w14:paraId="02282A7A" w14:textId="77777777" w:rsidR="0099302C" w:rsidRDefault="0099302C" w:rsidP="00AD5ED4">
            <w:pPr>
              <w:rPr>
                <w:bCs/>
              </w:rPr>
            </w:pPr>
            <w:r>
              <w:rPr>
                <w:bCs/>
              </w:rPr>
              <w:t>Fluticasone propionate (pMDI, standard particle, HFA)</w:t>
            </w:r>
          </w:p>
        </w:tc>
        <w:tc>
          <w:tcPr>
            <w:tcW w:w="1418" w:type="dxa"/>
            <w:vAlign w:val="center"/>
          </w:tcPr>
          <w:p w14:paraId="59F2407E" w14:textId="77777777" w:rsidR="0099302C" w:rsidRPr="00027BA7" w:rsidRDefault="0099302C" w:rsidP="00AD5ED4">
            <w:pPr>
              <w:jc w:val="center"/>
            </w:pPr>
            <w:r>
              <w:t>100–250</w:t>
            </w:r>
          </w:p>
        </w:tc>
        <w:tc>
          <w:tcPr>
            <w:tcW w:w="1417" w:type="dxa"/>
            <w:vAlign w:val="center"/>
          </w:tcPr>
          <w:p w14:paraId="3DA10821" w14:textId="77777777" w:rsidR="0099302C" w:rsidRPr="00027BA7" w:rsidRDefault="0099302C" w:rsidP="00AD5ED4">
            <w:pPr>
              <w:jc w:val="center"/>
            </w:pPr>
            <w:r>
              <w:t>&gt;250–500</w:t>
            </w:r>
          </w:p>
        </w:tc>
        <w:tc>
          <w:tcPr>
            <w:tcW w:w="1418" w:type="dxa"/>
            <w:vAlign w:val="center"/>
          </w:tcPr>
          <w:p w14:paraId="65C1A91C" w14:textId="77777777" w:rsidR="0099302C" w:rsidRPr="00027BA7" w:rsidRDefault="0099302C" w:rsidP="00AD5ED4">
            <w:pPr>
              <w:jc w:val="center"/>
            </w:pPr>
            <w:r>
              <w:t>&gt;500</w:t>
            </w:r>
          </w:p>
        </w:tc>
      </w:tr>
      <w:tr w:rsidR="0099302C" w:rsidRPr="00462C32" w14:paraId="337A1D16" w14:textId="77777777" w:rsidTr="00AD5ED4">
        <w:trPr>
          <w:trHeight w:val="70"/>
        </w:trPr>
        <w:tc>
          <w:tcPr>
            <w:tcW w:w="5665" w:type="dxa"/>
            <w:vAlign w:val="center"/>
          </w:tcPr>
          <w:p w14:paraId="72851BF6" w14:textId="77777777" w:rsidR="0099302C" w:rsidRDefault="0099302C" w:rsidP="00AD5ED4">
            <w:pPr>
              <w:rPr>
                <w:bCs/>
              </w:rPr>
            </w:pPr>
            <w:r>
              <w:rPr>
                <w:bCs/>
              </w:rPr>
              <w:t>Mometasone furoate (DPI)</w:t>
            </w:r>
          </w:p>
        </w:tc>
        <w:tc>
          <w:tcPr>
            <w:tcW w:w="4253" w:type="dxa"/>
            <w:gridSpan w:val="3"/>
            <w:vAlign w:val="center"/>
          </w:tcPr>
          <w:p w14:paraId="778E91BE" w14:textId="77777777" w:rsidR="0099302C" w:rsidRPr="00027BA7" w:rsidRDefault="0099302C" w:rsidP="00AD5ED4">
            <w:pPr>
              <w:jc w:val="center"/>
            </w:pPr>
            <w:r>
              <w:t>Depends on DPI device – see product information</w:t>
            </w:r>
          </w:p>
        </w:tc>
      </w:tr>
      <w:tr w:rsidR="0099302C" w:rsidRPr="00462C32" w14:paraId="7B54873B" w14:textId="77777777" w:rsidTr="00AD5ED4">
        <w:trPr>
          <w:trHeight w:val="70"/>
        </w:trPr>
        <w:tc>
          <w:tcPr>
            <w:tcW w:w="5665" w:type="dxa"/>
            <w:vAlign w:val="center"/>
          </w:tcPr>
          <w:p w14:paraId="6EBAA098" w14:textId="77777777" w:rsidR="0099302C" w:rsidRDefault="0099302C" w:rsidP="00AD5ED4">
            <w:pPr>
              <w:rPr>
                <w:bCs/>
              </w:rPr>
            </w:pPr>
            <w:r>
              <w:rPr>
                <w:bCs/>
              </w:rPr>
              <w:t>Mometasone furoate (pMDI, standard particle, HFA)</w:t>
            </w:r>
          </w:p>
        </w:tc>
        <w:tc>
          <w:tcPr>
            <w:tcW w:w="2835" w:type="dxa"/>
            <w:gridSpan w:val="2"/>
            <w:vAlign w:val="center"/>
          </w:tcPr>
          <w:p w14:paraId="08AFCBA0" w14:textId="77777777" w:rsidR="0099302C" w:rsidRPr="00027BA7" w:rsidRDefault="0099302C" w:rsidP="00AD5ED4">
            <w:pPr>
              <w:jc w:val="center"/>
            </w:pPr>
            <w:r>
              <w:t>200–400</w:t>
            </w:r>
          </w:p>
        </w:tc>
        <w:tc>
          <w:tcPr>
            <w:tcW w:w="1418" w:type="dxa"/>
            <w:vAlign w:val="center"/>
          </w:tcPr>
          <w:p w14:paraId="5B237BE3" w14:textId="77777777" w:rsidR="0099302C" w:rsidRPr="00027BA7" w:rsidRDefault="0099302C" w:rsidP="00AD5ED4">
            <w:pPr>
              <w:jc w:val="center"/>
            </w:pPr>
            <w:r>
              <w:t>&gt;400</w:t>
            </w:r>
          </w:p>
        </w:tc>
      </w:tr>
      <w:tr w:rsidR="0099302C" w:rsidRPr="00462C32" w14:paraId="2674940D" w14:textId="77777777" w:rsidTr="00AD5ED4">
        <w:trPr>
          <w:trHeight w:val="70"/>
        </w:trPr>
        <w:tc>
          <w:tcPr>
            <w:tcW w:w="9918" w:type="dxa"/>
            <w:gridSpan w:val="4"/>
            <w:shd w:val="clear" w:color="auto" w:fill="D9D9D9" w:themeFill="background1" w:themeFillShade="D9"/>
            <w:vAlign w:val="center"/>
          </w:tcPr>
          <w:p w14:paraId="74D4E57B" w14:textId="77777777" w:rsidR="0099302C" w:rsidRPr="00CB3877" w:rsidRDefault="0099302C" w:rsidP="00AD5ED4">
            <w:pPr>
              <w:rPr>
                <w:b/>
              </w:rPr>
            </w:pPr>
            <w:r w:rsidRPr="00CF20A2">
              <w:rPr>
                <w:b/>
              </w:rPr>
              <w:t>NAEPP 2007 (</w:t>
            </w:r>
            <w:r w:rsidRPr="00CB3877">
              <w:rPr>
                <w:b/>
              </w:rPr>
              <w:t>adults and adolescents ≥12 years)</w:t>
            </w:r>
          </w:p>
        </w:tc>
      </w:tr>
      <w:tr w:rsidR="0099302C" w:rsidRPr="00462C32" w14:paraId="438C3A4F" w14:textId="77777777" w:rsidTr="00AD5ED4">
        <w:trPr>
          <w:trHeight w:val="70"/>
        </w:trPr>
        <w:tc>
          <w:tcPr>
            <w:tcW w:w="5665" w:type="dxa"/>
            <w:vAlign w:val="center"/>
          </w:tcPr>
          <w:p w14:paraId="61606DA5" w14:textId="77777777" w:rsidR="0099302C" w:rsidRPr="00FD1EA8" w:rsidRDefault="0099302C" w:rsidP="00AD5ED4">
            <w:r>
              <w:t xml:space="preserve">Beclomethasone HFA (40 or 80 </w:t>
            </w:r>
            <w:r>
              <w:rPr>
                <w:rFonts w:cstheme="minorHAnsi"/>
              </w:rPr>
              <w:t>µ</w:t>
            </w:r>
            <w:r>
              <w:t>g/puff)</w:t>
            </w:r>
          </w:p>
        </w:tc>
        <w:tc>
          <w:tcPr>
            <w:tcW w:w="1418" w:type="dxa"/>
            <w:vAlign w:val="center"/>
          </w:tcPr>
          <w:p w14:paraId="4B5B3240" w14:textId="77777777" w:rsidR="0099302C" w:rsidRPr="00DD048C" w:rsidRDefault="0099302C" w:rsidP="00AD5ED4">
            <w:pPr>
              <w:jc w:val="center"/>
            </w:pPr>
            <w:r w:rsidRPr="00CF20A2">
              <w:t>80–240</w:t>
            </w:r>
          </w:p>
        </w:tc>
        <w:tc>
          <w:tcPr>
            <w:tcW w:w="1417" w:type="dxa"/>
            <w:vAlign w:val="center"/>
          </w:tcPr>
          <w:p w14:paraId="04A39CE4" w14:textId="77777777" w:rsidR="0099302C" w:rsidRPr="00DD048C" w:rsidRDefault="0099302C" w:rsidP="00AD5ED4">
            <w:pPr>
              <w:jc w:val="center"/>
            </w:pPr>
            <w:r>
              <w:t>&gt;240–480</w:t>
            </w:r>
          </w:p>
        </w:tc>
        <w:tc>
          <w:tcPr>
            <w:tcW w:w="1418" w:type="dxa"/>
            <w:vAlign w:val="center"/>
          </w:tcPr>
          <w:p w14:paraId="13C68FED" w14:textId="77777777" w:rsidR="0099302C" w:rsidRPr="00DD048C" w:rsidRDefault="0099302C" w:rsidP="00AD5ED4">
            <w:pPr>
              <w:jc w:val="center"/>
            </w:pPr>
            <w:r>
              <w:t>&gt;480</w:t>
            </w:r>
          </w:p>
        </w:tc>
      </w:tr>
      <w:tr w:rsidR="0099302C" w:rsidRPr="00462C32" w14:paraId="6A797F35" w14:textId="77777777" w:rsidTr="00AD5ED4">
        <w:trPr>
          <w:trHeight w:val="70"/>
        </w:trPr>
        <w:tc>
          <w:tcPr>
            <w:tcW w:w="5665" w:type="dxa"/>
            <w:vAlign w:val="center"/>
          </w:tcPr>
          <w:p w14:paraId="75A5BFEA" w14:textId="77777777" w:rsidR="0099302C" w:rsidRDefault="0099302C" w:rsidP="00AD5ED4">
            <w:r>
              <w:t xml:space="preserve">Budesonide DPI (90, 180, or 200 </w:t>
            </w:r>
            <w:r>
              <w:rPr>
                <w:rFonts w:cstheme="minorHAnsi"/>
              </w:rPr>
              <w:t>µ</w:t>
            </w:r>
            <w:r>
              <w:t>g/inhalation)</w:t>
            </w:r>
          </w:p>
        </w:tc>
        <w:tc>
          <w:tcPr>
            <w:tcW w:w="1418" w:type="dxa"/>
            <w:vAlign w:val="center"/>
          </w:tcPr>
          <w:p w14:paraId="72C05E54" w14:textId="77777777" w:rsidR="0099302C" w:rsidRPr="00DD048C" w:rsidRDefault="0099302C" w:rsidP="00AD5ED4">
            <w:pPr>
              <w:jc w:val="center"/>
            </w:pPr>
            <w:r w:rsidRPr="00CF20A2">
              <w:t>180–600</w:t>
            </w:r>
          </w:p>
        </w:tc>
        <w:tc>
          <w:tcPr>
            <w:tcW w:w="1417" w:type="dxa"/>
            <w:vAlign w:val="center"/>
          </w:tcPr>
          <w:p w14:paraId="58EFB320" w14:textId="77777777" w:rsidR="0099302C" w:rsidRPr="00DD048C" w:rsidRDefault="0099302C" w:rsidP="00AD5ED4">
            <w:pPr>
              <w:jc w:val="center"/>
            </w:pPr>
            <w:r>
              <w:t>&gt;600–1,200</w:t>
            </w:r>
          </w:p>
        </w:tc>
        <w:tc>
          <w:tcPr>
            <w:tcW w:w="1418" w:type="dxa"/>
            <w:vAlign w:val="center"/>
          </w:tcPr>
          <w:p w14:paraId="7EB7C124" w14:textId="77777777" w:rsidR="0099302C" w:rsidRPr="00DD048C" w:rsidRDefault="0099302C" w:rsidP="00AD5ED4">
            <w:pPr>
              <w:jc w:val="center"/>
            </w:pPr>
            <w:r>
              <w:t>&gt;1,200</w:t>
            </w:r>
          </w:p>
        </w:tc>
      </w:tr>
      <w:tr w:rsidR="0099302C" w:rsidRPr="00462C32" w14:paraId="7557693B" w14:textId="77777777" w:rsidTr="00AD5ED4">
        <w:trPr>
          <w:trHeight w:val="70"/>
        </w:trPr>
        <w:tc>
          <w:tcPr>
            <w:tcW w:w="5665" w:type="dxa"/>
            <w:vAlign w:val="center"/>
          </w:tcPr>
          <w:p w14:paraId="5211FB48" w14:textId="77777777" w:rsidR="0099302C" w:rsidRDefault="0099302C" w:rsidP="00AD5ED4">
            <w:r>
              <w:t xml:space="preserve">Flunisolide (250 </w:t>
            </w:r>
            <w:r>
              <w:rPr>
                <w:rFonts w:cstheme="minorHAnsi"/>
              </w:rPr>
              <w:t>µ</w:t>
            </w:r>
            <w:r>
              <w:t>g/puff)</w:t>
            </w:r>
          </w:p>
        </w:tc>
        <w:tc>
          <w:tcPr>
            <w:tcW w:w="1418" w:type="dxa"/>
            <w:vAlign w:val="center"/>
          </w:tcPr>
          <w:p w14:paraId="16E1C9A2" w14:textId="77777777" w:rsidR="0099302C" w:rsidRPr="00DD048C" w:rsidRDefault="0099302C" w:rsidP="00AD5ED4">
            <w:pPr>
              <w:jc w:val="center"/>
            </w:pPr>
            <w:r w:rsidRPr="00CF20A2">
              <w:t>500–1,000</w:t>
            </w:r>
          </w:p>
        </w:tc>
        <w:tc>
          <w:tcPr>
            <w:tcW w:w="1417" w:type="dxa"/>
            <w:vAlign w:val="center"/>
          </w:tcPr>
          <w:p w14:paraId="6F010279" w14:textId="77777777" w:rsidR="0099302C" w:rsidRPr="00DD048C" w:rsidRDefault="0099302C" w:rsidP="00AD5ED4">
            <w:pPr>
              <w:jc w:val="center"/>
            </w:pPr>
            <w:r>
              <w:t>&gt;1,000–2,000</w:t>
            </w:r>
          </w:p>
        </w:tc>
        <w:tc>
          <w:tcPr>
            <w:tcW w:w="1418" w:type="dxa"/>
            <w:vAlign w:val="center"/>
          </w:tcPr>
          <w:p w14:paraId="14C8C5C2" w14:textId="77777777" w:rsidR="0099302C" w:rsidRPr="00DD048C" w:rsidRDefault="0099302C" w:rsidP="00AD5ED4">
            <w:pPr>
              <w:jc w:val="center"/>
            </w:pPr>
            <w:r>
              <w:t>&gt;2,000</w:t>
            </w:r>
          </w:p>
        </w:tc>
      </w:tr>
      <w:tr w:rsidR="0099302C" w:rsidRPr="00462C32" w14:paraId="38FB0A79" w14:textId="77777777" w:rsidTr="00AD5ED4">
        <w:trPr>
          <w:trHeight w:val="70"/>
        </w:trPr>
        <w:tc>
          <w:tcPr>
            <w:tcW w:w="5665" w:type="dxa"/>
            <w:vAlign w:val="center"/>
          </w:tcPr>
          <w:p w14:paraId="356D00C2" w14:textId="77777777" w:rsidR="0099302C" w:rsidRDefault="0099302C" w:rsidP="00AD5ED4">
            <w:r>
              <w:t xml:space="preserve">Flunisolide HFA (80 </w:t>
            </w:r>
            <w:r>
              <w:rPr>
                <w:rFonts w:cstheme="minorHAnsi"/>
              </w:rPr>
              <w:t>µ</w:t>
            </w:r>
            <w:r>
              <w:t>g/puff)</w:t>
            </w:r>
          </w:p>
        </w:tc>
        <w:tc>
          <w:tcPr>
            <w:tcW w:w="1418" w:type="dxa"/>
            <w:vAlign w:val="center"/>
          </w:tcPr>
          <w:p w14:paraId="31C2E3ED" w14:textId="77777777" w:rsidR="0099302C" w:rsidRPr="00DD048C" w:rsidRDefault="0099302C" w:rsidP="00AD5ED4">
            <w:pPr>
              <w:jc w:val="center"/>
            </w:pPr>
            <w:r w:rsidRPr="00CF20A2">
              <w:t>320</w:t>
            </w:r>
          </w:p>
        </w:tc>
        <w:tc>
          <w:tcPr>
            <w:tcW w:w="1417" w:type="dxa"/>
            <w:vAlign w:val="center"/>
          </w:tcPr>
          <w:p w14:paraId="1CAEBF96" w14:textId="77777777" w:rsidR="0099302C" w:rsidRPr="00DD048C" w:rsidRDefault="0099302C" w:rsidP="00AD5ED4">
            <w:pPr>
              <w:jc w:val="center"/>
            </w:pPr>
            <w:r>
              <w:t>&gt;320–640</w:t>
            </w:r>
          </w:p>
        </w:tc>
        <w:tc>
          <w:tcPr>
            <w:tcW w:w="1418" w:type="dxa"/>
            <w:vAlign w:val="center"/>
          </w:tcPr>
          <w:p w14:paraId="76F891B7" w14:textId="77777777" w:rsidR="0099302C" w:rsidRPr="00DD048C" w:rsidRDefault="0099302C" w:rsidP="00AD5ED4">
            <w:pPr>
              <w:jc w:val="center"/>
            </w:pPr>
            <w:r>
              <w:t>&gt;640</w:t>
            </w:r>
          </w:p>
        </w:tc>
      </w:tr>
      <w:tr w:rsidR="0099302C" w:rsidRPr="00462C32" w14:paraId="5B2FD03B" w14:textId="77777777" w:rsidTr="00AD5ED4">
        <w:trPr>
          <w:trHeight w:val="70"/>
        </w:trPr>
        <w:tc>
          <w:tcPr>
            <w:tcW w:w="5665" w:type="dxa"/>
            <w:vAlign w:val="center"/>
          </w:tcPr>
          <w:p w14:paraId="11CD9A81" w14:textId="77777777" w:rsidR="0099302C" w:rsidRDefault="0099302C" w:rsidP="00AD5ED4">
            <w:r>
              <w:t>Fluticasone</w:t>
            </w:r>
          </w:p>
          <w:p w14:paraId="17ACF279" w14:textId="77777777" w:rsidR="0099302C" w:rsidRDefault="0099302C" w:rsidP="00AD5ED4">
            <w:r>
              <w:t xml:space="preserve">   HFA/pMDI (44, 110, or 220 </w:t>
            </w:r>
            <w:r>
              <w:rPr>
                <w:rFonts w:cstheme="minorHAnsi"/>
              </w:rPr>
              <w:t>µ</w:t>
            </w:r>
            <w:r>
              <w:t>g/puff)</w:t>
            </w:r>
          </w:p>
          <w:p w14:paraId="60DEDADB" w14:textId="77777777" w:rsidR="0099302C" w:rsidRDefault="0099302C" w:rsidP="00AD5ED4">
            <w:r>
              <w:t xml:space="preserve">   DPI (50, 100, or 250 </w:t>
            </w:r>
            <w:r>
              <w:rPr>
                <w:rFonts w:cstheme="minorHAnsi"/>
              </w:rPr>
              <w:t>µ</w:t>
            </w:r>
            <w:r>
              <w:t>g/inhalation)</w:t>
            </w:r>
          </w:p>
        </w:tc>
        <w:tc>
          <w:tcPr>
            <w:tcW w:w="1418" w:type="dxa"/>
            <w:vAlign w:val="center"/>
          </w:tcPr>
          <w:p w14:paraId="607EE7A9" w14:textId="77777777" w:rsidR="0099302C" w:rsidRPr="00CF20A2" w:rsidRDefault="0099302C" w:rsidP="00AD5ED4">
            <w:pPr>
              <w:jc w:val="center"/>
            </w:pPr>
          </w:p>
          <w:p w14:paraId="7F8A3201" w14:textId="77777777" w:rsidR="0099302C" w:rsidRDefault="0099302C" w:rsidP="00AD5ED4">
            <w:pPr>
              <w:jc w:val="center"/>
            </w:pPr>
            <w:r>
              <w:t>88–264</w:t>
            </w:r>
          </w:p>
          <w:p w14:paraId="73AD5AFA" w14:textId="77777777" w:rsidR="0099302C" w:rsidRPr="00DD048C" w:rsidRDefault="0099302C" w:rsidP="00AD5ED4">
            <w:pPr>
              <w:jc w:val="center"/>
            </w:pPr>
            <w:r>
              <w:t>100–300</w:t>
            </w:r>
          </w:p>
        </w:tc>
        <w:tc>
          <w:tcPr>
            <w:tcW w:w="1417" w:type="dxa"/>
            <w:vAlign w:val="center"/>
          </w:tcPr>
          <w:p w14:paraId="5C882A85" w14:textId="77777777" w:rsidR="0099302C" w:rsidRDefault="0099302C" w:rsidP="00AD5ED4">
            <w:pPr>
              <w:jc w:val="center"/>
            </w:pPr>
          </w:p>
          <w:p w14:paraId="6ED41A56" w14:textId="77777777" w:rsidR="0099302C" w:rsidRDefault="0099302C" w:rsidP="00AD5ED4">
            <w:pPr>
              <w:jc w:val="center"/>
            </w:pPr>
            <w:r>
              <w:t>&gt;264–440</w:t>
            </w:r>
          </w:p>
          <w:p w14:paraId="5A035644" w14:textId="77777777" w:rsidR="0099302C" w:rsidRPr="00DD048C" w:rsidRDefault="0099302C" w:rsidP="00AD5ED4">
            <w:pPr>
              <w:jc w:val="center"/>
            </w:pPr>
            <w:r>
              <w:t>&gt;300–500</w:t>
            </w:r>
          </w:p>
        </w:tc>
        <w:tc>
          <w:tcPr>
            <w:tcW w:w="1418" w:type="dxa"/>
            <w:vAlign w:val="center"/>
          </w:tcPr>
          <w:p w14:paraId="4D1166D0" w14:textId="77777777" w:rsidR="0099302C" w:rsidRDefault="0099302C" w:rsidP="00AD5ED4">
            <w:pPr>
              <w:jc w:val="center"/>
            </w:pPr>
          </w:p>
          <w:p w14:paraId="2FA219EC" w14:textId="77777777" w:rsidR="0099302C" w:rsidRDefault="0099302C" w:rsidP="00AD5ED4">
            <w:pPr>
              <w:jc w:val="center"/>
            </w:pPr>
            <w:r>
              <w:t>&gt;440</w:t>
            </w:r>
          </w:p>
          <w:p w14:paraId="78C93CD6" w14:textId="77777777" w:rsidR="0099302C" w:rsidRPr="00DD048C" w:rsidRDefault="0099302C" w:rsidP="00AD5ED4">
            <w:pPr>
              <w:jc w:val="center"/>
            </w:pPr>
            <w:r>
              <w:t>&gt;500</w:t>
            </w:r>
          </w:p>
        </w:tc>
      </w:tr>
      <w:tr w:rsidR="0099302C" w:rsidRPr="00462C32" w14:paraId="7B0C5229" w14:textId="77777777" w:rsidTr="00AD5ED4">
        <w:trPr>
          <w:trHeight w:val="70"/>
        </w:trPr>
        <w:tc>
          <w:tcPr>
            <w:tcW w:w="5665" w:type="dxa"/>
            <w:vAlign w:val="center"/>
          </w:tcPr>
          <w:p w14:paraId="54545640" w14:textId="77777777" w:rsidR="0099302C" w:rsidRDefault="0099302C" w:rsidP="00AD5ED4">
            <w:r>
              <w:t xml:space="preserve">Mometasone DPI (200 </w:t>
            </w:r>
            <w:r>
              <w:rPr>
                <w:rFonts w:cstheme="minorHAnsi"/>
              </w:rPr>
              <w:t>µ</w:t>
            </w:r>
            <w:r>
              <w:t>g/inhalation)</w:t>
            </w:r>
          </w:p>
        </w:tc>
        <w:tc>
          <w:tcPr>
            <w:tcW w:w="1418" w:type="dxa"/>
            <w:vAlign w:val="center"/>
          </w:tcPr>
          <w:p w14:paraId="427DC7E4" w14:textId="77777777" w:rsidR="0099302C" w:rsidRPr="00DD048C" w:rsidRDefault="0099302C" w:rsidP="00AD5ED4">
            <w:pPr>
              <w:jc w:val="center"/>
            </w:pPr>
            <w:r w:rsidRPr="00CF20A2">
              <w:t>200</w:t>
            </w:r>
          </w:p>
        </w:tc>
        <w:tc>
          <w:tcPr>
            <w:tcW w:w="1417" w:type="dxa"/>
            <w:vAlign w:val="center"/>
          </w:tcPr>
          <w:p w14:paraId="6E6A4C38" w14:textId="77777777" w:rsidR="0099302C" w:rsidRPr="00DD048C" w:rsidRDefault="0099302C" w:rsidP="00AD5ED4">
            <w:pPr>
              <w:jc w:val="center"/>
            </w:pPr>
            <w:r>
              <w:t>400</w:t>
            </w:r>
          </w:p>
        </w:tc>
        <w:tc>
          <w:tcPr>
            <w:tcW w:w="1418" w:type="dxa"/>
            <w:vAlign w:val="center"/>
          </w:tcPr>
          <w:p w14:paraId="7EFAEABD" w14:textId="77777777" w:rsidR="0099302C" w:rsidRPr="00DD048C" w:rsidRDefault="0099302C" w:rsidP="00AD5ED4">
            <w:pPr>
              <w:jc w:val="center"/>
            </w:pPr>
            <w:r>
              <w:t>&gt;400</w:t>
            </w:r>
          </w:p>
        </w:tc>
      </w:tr>
      <w:tr w:rsidR="0099302C" w:rsidRPr="00462C32" w14:paraId="7CDA908A" w14:textId="77777777" w:rsidTr="00AD5ED4">
        <w:trPr>
          <w:trHeight w:val="70"/>
        </w:trPr>
        <w:tc>
          <w:tcPr>
            <w:tcW w:w="5665" w:type="dxa"/>
            <w:vAlign w:val="center"/>
          </w:tcPr>
          <w:p w14:paraId="22B8F8B1" w14:textId="77777777" w:rsidR="0099302C" w:rsidRDefault="0099302C" w:rsidP="00AD5ED4">
            <w:r>
              <w:t xml:space="preserve">Triamcinolone acetonide (75 </w:t>
            </w:r>
            <w:r>
              <w:rPr>
                <w:rFonts w:cstheme="minorHAnsi"/>
              </w:rPr>
              <w:t>µ</w:t>
            </w:r>
            <w:r>
              <w:t>g/puff)</w:t>
            </w:r>
          </w:p>
        </w:tc>
        <w:tc>
          <w:tcPr>
            <w:tcW w:w="1418" w:type="dxa"/>
            <w:vAlign w:val="center"/>
          </w:tcPr>
          <w:p w14:paraId="2D295347" w14:textId="77777777" w:rsidR="0099302C" w:rsidRPr="00DD048C" w:rsidRDefault="0099302C" w:rsidP="00AD5ED4">
            <w:pPr>
              <w:jc w:val="center"/>
            </w:pPr>
            <w:r w:rsidRPr="00CF20A2">
              <w:t>300–750</w:t>
            </w:r>
          </w:p>
        </w:tc>
        <w:tc>
          <w:tcPr>
            <w:tcW w:w="1417" w:type="dxa"/>
            <w:vAlign w:val="center"/>
          </w:tcPr>
          <w:p w14:paraId="256C8E61" w14:textId="77777777" w:rsidR="0099302C" w:rsidRPr="00DD048C" w:rsidRDefault="0099302C" w:rsidP="00AD5ED4">
            <w:pPr>
              <w:jc w:val="center"/>
            </w:pPr>
            <w:r>
              <w:t>&gt;750–1,500</w:t>
            </w:r>
          </w:p>
        </w:tc>
        <w:tc>
          <w:tcPr>
            <w:tcW w:w="1418" w:type="dxa"/>
            <w:vAlign w:val="center"/>
          </w:tcPr>
          <w:p w14:paraId="509EF2EF" w14:textId="77777777" w:rsidR="0099302C" w:rsidRPr="00DD048C" w:rsidRDefault="0099302C" w:rsidP="00AD5ED4">
            <w:pPr>
              <w:jc w:val="center"/>
            </w:pPr>
            <w:r>
              <w:t>&gt;1,500</w:t>
            </w:r>
          </w:p>
        </w:tc>
      </w:tr>
    </w:tbl>
    <w:p w14:paraId="67E7F68A" w14:textId="77777777" w:rsidR="0099302C" w:rsidRPr="00CF20A2" w:rsidRDefault="0099302C" w:rsidP="0099302C">
      <w:pPr>
        <w:rPr>
          <w:rFonts w:hAnsi="Calibri"/>
          <w:b/>
          <w:color w:val="000000" w:themeColor="text1"/>
          <w:kern w:val="24"/>
        </w:rPr>
      </w:pPr>
    </w:p>
    <w:p w14:paraId="48EA0870" w14:textId="77777777" w:rsidR="0099302C" w:rsidRPr="00482F7E" w:rsidRDefault="0099302C" w:rsidP="0099302C">
      <w:pPr>
        <w:rPr>
          <w:sz w:val="18"/>
        </w:rPr>
        <w:sectPr w:rsidR="0099302C" w:rsidRPr="00482F7E" w:rsidSect="00CB387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  <w:r w:rsidRPr="00482F7E">
        <w:rPr>
          <w:sz w:val="18"/>
        </w:rPr>
        <w:t>DPI, dry powder inhaler; GINA, Global Initiative for Asthma; HFA, hydrofluoroalkane; ICS, inhaled corticosteroid; NAEPP, National Asthma Education and Prevention Program; pMDI, pressurized metered dose inhaler</w:t>
      </w:r>
    </w:p>
    <w:p w14:paraId="555297A3" w14:textId="77777777" w:rsidR="0099302C" w:rsidRPr="001F2C43" w:rsidRDefault="0099302C" w:rsidP="0099302C">
      <w:pPr>
        <w:rPr>
          <w:rFonts w:hAnsi="Calibri"/>
          <w:b/>
          <w:color w:val="000000" w:themeColor="text1"/>
          <w:kern w:val="24"/>
        </w:rPr>
      </w:pPr>
      <w:r w:rsidRPr="00CF20A2">
        <w:rPr>
          <w:rFonts w:hAnsi="Calibri"/>
          <w:b/>
          <w:color w:val="000000" w:themeColor="text1"/>
          <w:kern w:val="24"/>
        </w:rPr>
        <w:lastRenderedPageBreak/>
        <w:t>Figure S1. Sample selection and attrition</w:t>
      </w:r>
    </w:p>
    <w:p w14:paraId="5C903815" w14:textId="77777777" w:rsidR="0099302C" w:rsidRPr="00CF20A2" w:rsidRDefault="0099302C" w:rsidP="0099302C">
      <w:pPr>
        <w:rPr>
          <w:rFonts w:hAnsi="Calibri"/>
          <w:color w:val="000000" w:themeColor="text1"/>
          <w:kern w:val="24"/>
          <w:sz w:val="18"/>
        </w:rPr>
      </w:pPr>
      <w:r>
        <w:rPr>
          <w:rFonts w:eastAsiaTheme="minorEastAsia" w:hAnsi="Calibri"/>
          <w:noProof/>
          <w:color w:val="000000" w:themeColor="text1"/>
          <w:kern w:val="24"/>
          <w:sz w:val="18"/>
          <w:szCs w:val="18"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92116E3" wp14:editId="05780C7D">
                <wp:simplePos x="0" y="0"/>
                <wp:positionH relativeFrom="column">
                  <wp:posOffset>0</wp:posOffset>
                </wp:positionH>
                <wp:positionV relativeFrom="paragraph">
                  <wp:posOffset>19050</wp:posOffset>
                </wp:positionV>
                <wp:extent cx="5301300" cy="6578043"/>
                <wp:effectExtent l="19050" t="19050" r="13970" b="13335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01300" cy="6578043"/>
                          <a:chOff x="0" y="0"/>
                          <a:chExt cx="5301300" cy="6578043"/>
                        </a:xfrm>
                      </wpg:grpSpPr>
                      <wps:wsp>
                        <wps:cNvPr id="28" name="Rectangle 28"/>
                        <wps:cNvSpPr/>
                        <wps:spPr>
                          <a:xfrm>
                            <a:off x="2781300" y="5800725"/>
                            <a:ext cx="2520000" cy="7773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5151FBB" w14:textId="77777777" w:rsidR="0099302C" w:rsidRPr="00770F01" w:rsidRDefault="0099302C" w:rsidP="0099302C">
                              <w:pPr>
                                <w:spacing w:after="120"/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770F0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ICS-based maintenance</w:t>
                              </w:r>
                            </w:p>
                            <w:p w14:paraId="166EFD50" w14:textId="77777777" w:rsidR="0099302C" w:rsidRPr="00770F01" w:rsidRDefault="0099302C" w:rsidP="0099302C">
                              <w:pPr>
                                <w:spacing w:after="120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770F01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n=214,533 (37.2%)</w:t>
                              </w:r>
                            </w:p>
                          </w:txbxContent>
                        </wps:txbx>
                        <wps:bodyPr rtlCol="0" anchor="ctr">
                          <a:norm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9525" y="5800725"/>
                            <a:ext cx="2520000" cy="777318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DF63700" w14:textId="77777777" w:rsidR="0099302C" w:rsidRPr="00770F01" w:rsidRDefault="0099302C" w:rsidP="0099302C">
                              <w:pPr>
                                <w:spacing w:after="120"/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770F01"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SABA only</w:t>
                              </w:r>
                            </w:p>
                            <w:p w14:paraId="19A8F416" w14:textId="77777777" w:rsidR="0099302C" w:rsidRPr="00770F01" w:rsidRDefault="0099302C" w:rsidP="0099302C">
                              <w:pPr>
                                <w:spacing w:after="120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770F01"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n=362,861 (62.8%) </w:t>
                              </w:r>
                            </w:p>
                          </w:txbxContent>
                        </wps:txbx>
                        <wps:bodyPr rtlCol="0" anchor="ctr">
                          <a:norm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0" y="0"/>
                            <a:ext cx="5292000" cy="104687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20000"/>
                            </a:schemeClr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A1E117" w14:textId="77777777" w:rsidR="0099302C" w:rsidRDefault="0099302C" w:rsidP="0099302C">
                              <w:pPr>
                                <w:spacing w:after="120"/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Patients aged ≥4 years with prescription SABA between 2011–2017 (Index date=random SABA fill)</w:t>
                              </w:r>
                            </w:p>
                            <w:p w14:paraId="1D45005B" w14:textId="77777777" w:rsidR="0099302C" w:rsidRDefault="0099302C" w:rsidP="0099302C">
                              <w:pPr>
                                <w:spacing w:after="120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n=11,972,304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0" y="1295400"/>
                            <a:ext cx="5292000" cy="102814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20000"/>
                            </a:schemeClr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C63AC3F" w14:textId="77777777" w:rsidR="0099302C" w:rsidRDefault="0099302C" w:rsidP="0099302C">
                              <w:pPr>
                                <w:spacing w:after="120"/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≥12-months pre-index and 12-months post-index continuous health plan eligibility</w:t>
                              </w:r>
                            </w:p>
                            <w:p w14:paraId="26D3CAEC" w14:textId="77777777" w:rsidR="0099302C" w:rsidRDefault="0099302C" w:rsidP="0099302C">
                              <w:pPr>
                                <w:spacing w:after="120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n=5,720,508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23" name="Down Arrow 6"/>
                        <wps:cNvSpPr/>
                        <wps:spPr>
                          <a:xfrm>
                            <a:off x="2343150" y="1066800"/>
                            <a:ext cx="360000" cy="277086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>
                          <a:normAutofit fontScale="25000" lnSpcReduction="20000"/>
                        </wps:bodyPr>
                      </wps:wsp>
                      <wps:wsp>
                        <wps:cNvPr id="25" name="Down Arrow 23"/>
                        <wps:cNvSpPr/>
                        <wps:spPr>
                          <a:xfrm>
                            <a:off x="2343150" y="2343150"/>
                            <a:ext cx="360000" cy="277086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>
                          <a:normAutofit fontScale="25000" lnSpcReduction="20000"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0" y="2552700"/>
                            <a:ext cx="5292000" cy="1447641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20000"/>
                            </a:schemeClr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320010CB" w14:textId="77777777" w:rsidR="0099302C" w:rsidRDefault="0099302C" w:rsidP="0099302C">
                              <w:pPr>
                                <w:spacing w:after="120"/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Diagnosis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position w:val="8"/>
                                  <w:sz w:val="28"/>
                                  <w:szCs w:val="28"/>
                                  <w:vertAlign w:val="superscript"/>
                                </w:rPr>
                                <w:t>a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 of asthma in 12-month pre-index or within 60 days post-index, with ≥1 additional SABA fill and/or ≥1 maintenance medication fill and excluding other respiratory or chronic conditions that could be treated with SCS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position w:val="8"/>
                                  <w:sz w:val="28"/>
                                  <w:szCs w:val="28"/>
                                  <w:vertAlign w:val="superscript"/>
                                </w:rPr>
                                <w:t>b</w:t>
                              </w:r>
                            </w:p>
                            <w:p w14:paraId="4790F896" w14:textId="77777777" w:rsidR="0099302C" w:rsidRDefault="0099302C" w:rsidP="0099302C">
                              <w:pPr>
                                <w:spacing w:after="120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n=1,134,143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0" y="4257675"/>
                            <a:ext cx="5292000" cy="1287414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20000"/>
                            </a:schemeClr>
                          </a:solidFill>
                          <a:ln w="285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82629F5" w14:textId="77777777" w:rsidR="0099302C" w:rsidRDefault="0099302C" w:rsidP="0099302C">
                              <w:pPr>
                                <w:spacing w:after="120"/>
                                <w:jc w:val="center"/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Patients aged ≥12 years with post-index ICS-based maintenance medication totaling &gt;32 days’ supply and/or ≥1 additional SABA if no maintenance</w:t>
                              </w:r>
                              <w:r>
                                <w:rPr>
                                  <w:rFonts w:hAnsi="Calibri"/>
                                  <w:color w:val="000000" w:themeColor="text1"/>
                                  <w:kern w:val="24"/>
                                  <w:position w:val="8"/>
                                  <w:sz w:val="28"/>
                                  <w:szCs w:val="28"/>
                                  <w:vertAlign w:val="superscript"/>
                                </w:rPr>
                                <w:t>c</w:t>
                              </w:r>
                            </w:p>
                            <w:p w14:paraId="6B24990F" w14:textId="77777777" w:rsidR="0099302C" w:rsidRDefault="0099302C" w:rsidP="0099302C">
                              <w:pPr>
                                <w:spacing w:after="120"/>
                                <w:jc w:val="center"/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hAnsi="Calibri"/>
                                  <w:b/>
                                  <w:bCs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 xml:space="preserve">n=577,394 </w:t>
                              </w:r>
                            </w:p>
                          </w:txbxContent>
                        </wps:txbx>
                        <wps:bodyPr rtlCol="0" anchor="ctr">
                          <a:noAutofit/>
                        </wps:bodyPr>
                      </wps:wsp>
                      <wps:wsp>
                        <wps:cNvPr id="26" name="Down Arrow 24"/>
                        <wps:cNvSpPr/>
                        <wps:spPr>
                          <a:xfrm>
                            <a:off x="2343150" y="4019550"/>
                            <a:ext cx="359410" cy="276860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>
                          <a:normAutofit fontScale="25000" lnSpcReduction="20000"/>
                        </wps:bodyPr>
                      </wps:wsp>
                      <wps:wsp>
                        <wps:cNvPr id="29" name="Down Arrow 39"/>
                        <wps:cNvSpPr/>
                        <wps:spPr>
                          <a:xfrm>
                            <a:off x="3857625" y="5553075"/>
                            <a:ext cx="360000" cy="277086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>
                          <a:normAutofit fontScale="25000" lnSpcReduction="20000"/>
                        </wps:bodyPr>
                      </wps:wsp>
                      <wps:wsp>
                        <wps:cNvPr id="30" name="Down Arrow 25"/>
                        <wps:cNvSpPr/>
                        <wps:spPr>
                          <a:xfrm>
                            <a:off x="1047750" y="5553075"/>
                            <a:ext cx="359410" cy="276860"/>
                          </a:xfrm>
                          <a:prstGeom prst="downArrow">
                            <a:avLst/>
                          </a:prstGeom>
                          <a:solidFill>
                            <a:schemeClr val="tx1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>
                          <a:normAutofit fontScale="25000" lnSpcReduction="20000"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92116E3" id="Group 2" o:spid="_x0000_s1026" style="position:absolute;margin-left:0;margin-top:1.5pt;width:417.45pt;height:517.95pt;z-index:251659264" coordsize="53013,657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">
                <v:rect id="Rectangle 28" o:spid="_x0000_s1027" style="position:absolute;left:27813;top:58007;width:25200;height:7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" fillcolor="white [3212]" strokecolor="black [3213]" strokeweight="2.25pt">
                  <v:textbox>
                    <w:txbxContent>
                      <w:p w14:paraId="05151FBB" w14:textId="77777777" w:rsidR="0099302C" w:rsidRPr="00770F01" w:rsidRDefault="0099302C" w:rsidP="0099302C">
                        <w:pPr>
                          <w:spacing w:after="120"/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770F01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ICS-based maintenance</w:t>
                        </w:r>
                      </w:p>
                      <w:p w14:paraId="166EFD50" w14:textId="77777777" w:rsidR="0099302C" w:rsidRPr="00770F01" w:rsidRDefault="0099302C" w:rsidP="0099302C">
                        <w:pPr>
                          <w:spacing w:after="120"/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770F01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n=214,533 (37.2%)</w:t>
                        </w:r>
                      </w:p>
                    </w:txbxContent>
                  </v:textbox>
                </v:rect>
                <v:rect id="Rectangle 27" o:spid="_x0000_s1028" style="position:absolute;left:95;top:58007;width:25200;height:777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" fillcolor="white [3212]" strokecolor="black [3213]" strokeweight="2.25pt">
                  <v:textbox>
                    <w:txbxContent>
                      <w:p w14:paraId="6DF63700" w14:textId="77777777" w:rsidR="0099302C" w:rsidRPr="00770F01" w:rsidRDefault="0099302C" w:rsidP="0099302C">
                        <w:pPr>
                          <w:spacing w:after="120"/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770F01"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SABA only</w:t>
                        </w:r>
                      </w:p>
                      <w:p w14:paraId="19A8F416" w14:textId="77777777" w:rsidR="0099302C" w:rsidRPr="00770F01" w:rsidRDefault="0099302C" w:rsidP="0099302C">
                        <w:pPr>
                          <w:spacing w:after="120"/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770F01"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n=362,861 (62.8%) </w:t>
                        </w:r>
                      </w:p>
                    </w:txbxContent>
                  </v:textbox>
                </v:rect>
                <v:rect id="Rectangle 20" o:spid="_x0000_s1029" style="position:absolute;width:52920;height:1046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" fillcolor="white [3212]" strokecolor="black [3213]" strokeweight="2.25pt">
                  <v:fill opacity="13107f"/>
                  <v:textbox>
                    <w:txbxContent>
                      <w:p w14:paraId="40A1E117" w14:textId="77777777" w:rsidR="0099302C" w:rsidRDefault="0099302C" w:rsidP="0099302C">
                        <w:pPr>
                          <w:spacing w:after="120"/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Patients aged ≥4 years with prescription SABA between 2011–2017 (Index date=random SABA fill)</w:t>
                        </w:r>
                      </w:p>
                      <w:p w14:paraId="1D45005B" w14:textId="77777777" w:rsidR="0099302C" w:rsidRDefault="0099302C" w:rsidP="0099302C">
                        <w:pPr>
                          <w:spacing w:after="120"/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n=11,972,304</w:t>
                        </w:r>
                      </w:p>
                    </w:txbxContent>
                  </v:textbox>
                </v:rect>
                <v:rect id="Rectangle 21" o:spid="_x0000_s1030" style="position:absolute;top:12954;width:52920;height:10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" fillcolor="white [3212]" strokecolor="black [3213]" strokeweight="2.25pt">
                  <v:fill opacity="13107f"/>
                  <v:textbox>
                    <w:txbxContent>
                      <w:p w14:paraId="4C63AC3F" w14:textId="77777777" w:rsidR="0099302C" w:rsidRDefault="0099302C" w:rsidP="0099302C">
                        <w:pPr>
                          <w:spacing w:after="120"/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≥12-months pre-index and 12-months post-index continuous health plan eligibility</w:t>
                        </w:r>
                      </w:p>
                      <w:p w14:paraId="26D3CAEC" w14:textId="77777777" w:rsidR="0099302C" w:rsidRDefault="0099302C" w:rsidP="0099302C">
                        <w:pPr>
                          <w:spacing w:after="120"/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n=5,720,508</w:t>
                        </w:r>
                      </w:p>
                    </w:txbxContent>
                  </v:textbox>
                </v:rect>
                <v:shapetype id="_x0000_t67" coordsize="21600,21600" o:spt="67" adj="16200,5400" path="m0@0l@1@0@1,0@2,0@2@0,21600@0,10800,21600xe">
                  <v:stroke joinstyle="miter"/>
                  <v:formulas>
                    <v:f eqn="val #0"/>
                    <v:f eqn="val #1"/>
                    <v:f eqn="sum height 0 #1"/>
                    <v:f eqn="sum 10800 0 #1"/>
                    <v:f eqn="sum width 0 #0"/>
                    <v:f eqn="prod @4 @3 10800"/>
                    <v:f eqn="sum width 0 @5"/>
                  </v:formulas>
                  <v:path o:connecttype="custom" o:connectlocs="10800,0;0,@0;10800,21600;21600,@0" o:connectangles="270,180,90,0" textboxrect="@1,0,@2,@6"/>
                  <v:handles>
                    <v:h position="#1,#0" xrange="0,10800" yrange="0,21600"/>
                  </v:handles>
                </v:shapetype>
                <v:shape id="Down Arrow 6" o:spid="_x0000_s1031" type="#_x0000_t67" style="position:absolute;left:23431;top:10668;width:3600;height:277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" adj="10800" fillcolor="black [3213]" stroked="f"/>
                <v:shape id="Down Arrow 23" o:spid="_x0000_s1032" type="#_x0000_t67" style="position:absolute;left:23431;top:23431;width:3600;height:2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" adj="10800" fillcolor="black [3213]" stroked="f"/>
                <v:rect id="Rectangle 22" o:spid="_x0000_s1033" style="position:absolute;top:25527;width:52920;height:144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" fillcolor="white [3212]" strokecolor="black [3213]" strokeweight="2.25pt">
                  <v:fill opacity="13107f"/>
                  <v:textbox>
                    <w:txbxContent>
                      <w:p w14:paraId="320010CB" w14:textId="77777777" w:rsidR="0099302C" w:rsidRDefault="0099302C" w:rsidP="0099302C">
                        <w:pPr>
                          <w:spacing w:after="120"/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Diagnosis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position w:val="8"/>
                            <w:sz w:val="28"/>
                            <w:szCs w:val="28"/>
                            <w:vertAlign w:val="superscript"/>
                          </w:rPr>
                          <w:t>a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 of asthma in 12-month pre-index or within 60 days post-index, with ≥1 additional SABA fill and/or ≥1 maintenance medication fill and excluding other respiratory or chronic conditions that could be treated with SCS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position w:val="8"/>
                            <w:sz w:val="28"/>
                            <w:szCs w:val="28"/>
                            <w:vertAlign w:val="superscript"/>
                          </w:rPr>
                          <w:t>b</w:t>
                        </w:r>
                      </w:p>
                      <w:p w14:paraId="4790F896" w14:textId="77777777" w:rsidR="0099302C" w:rsidRDefault="0099302C" w:rsidP="0099302C">
                        <w:pPr>
                          <w:spacing w:after="120"/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n=1,134,143</w:t>
                        </w:r>
                      </w:p>
                    </w:txbxContent>
                  </v:textbox>
                </v:rect>
                <v:rect id="Rectangle 24" o:spid="_x0000_s1034" style="position:absolute;top:42576;width:52920;height:1287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" fillcolor="white [3212]" strokecolor="black [3213]" strokeweight="2.25pt">
                  <v:fill opacity="13107f"/>
                  <v:textbox>
                    <w:txbxContent>
                      <w:p w14:paraId="782629F5" w14:textId="77777777" w:rsidR="0099302C" w:rsidRDefault="0099302C" w:rsidP="0099302C">
                        <w:pPr>
                          <w:spacing w:after="120"/>
                          <w:jc w:val="center"/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Patients aged ≥12 years with post-index ICS-based maintenance medication totaling &gt;32 days’ supply and/or ≥1 additional SABA if no maintenance</w:t>
                        </w:r>
                        <w:r>
                          <w:rPr>
                            <w:rFonts w:hAnsi="Calibri"/>
                            <w:color w:val="000000" w:themeColor="text1"/>
                            <w:kern w:val="24"/>
                            <w:position w:val="8"/>
                            <w:sz w:val="28"/>
                            <w:szCs w:val="28"/>
                            <w:vertAlign w:val="superscript"/>
                          </w:rPr>
                          <w:t>c</w:t>
                        </w:r>
                      </w:p>
                      <w:p w14:paraId="6B24990F" w14:textId="77777777" w:rsidR="0099302C" w:rsidRDefault="0099302C" w:rsidP="0099302C">
                        <w:pPr>
                          <w:spacing w:after="120"/>
                          <w:jc w:val="center"/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>
                          <w:rPr>
                            <w:rFonts w:hAnsi="Calibri"/>
                            <w:b/>
                            <w:bCs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 xml:space="preserve">n=577,394 </w:t>
                        </w:r>
                      </w:p>
                    </w:txbxContent>
                  </v:textbox>
                </v:rect>
                <v:shape id="Down Arrow 24" o:spid="_x0000_s1035" type="#_x0000_t67" style="position:absolute;left:23431;top:40195;width:3594;height:2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" adj="10800" fillcolor="black [3213]" stroked="f"/>
                <v:shape id="Down Arrow 39" o:spid="_x0000_s1036" type="#_x0000_t67" style="position:absolute;left:38576;top:55530;width:3600;height:27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" adj="10800" fillcolor="black [3213]" stroked="f"/>
                <v:shape id="Down Arrow 25" o:spid="_x0000_s1037" type="#_x0000_t67" style="position:absolute;left:10477;top:55530;width:3594;height:276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" adj="10800" fillcolor="black [3213]" stroked="f"/>
              </v:group>
            </w:pict>
          </mc:Fallback>
        </mc:AlternateContent>
      </w:r>
    </w:p>
    <w:p w14:paraId="23C45EBD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3F733BB9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42C6F17D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652B149C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40C29A76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04AC6907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6545E1F2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44F9E7CA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423E1948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635CC462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78E6CCA6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4945EF78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1B00AF7B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0458AFD8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595EA0BF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1E49B0D5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0C118F02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18A7F8F9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7F07399A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5339BE48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6945BB60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33324F4E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2C193FB9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5FAE749F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42BCDE7D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62B03C5F" w14:textId="77777777" w:rsidR="0099302C" w:rsidRDefault="0099302C" w:rsidP="0099302C">
      <w:pPr>
        <w:rPr>
          <w:rFonts w:hAnsi="Calibri"/>
          <w:color w:val="000000" w:themeColor="text1"/>
          <w:kern w:val="24"/>
          <w:sz w:val="18"/>
        </w:rPr>
      </w:pPr>
    </w:p>
    <w:p w14:paraId="1E08F5FC" w14:textId="77777777" w:rsidR="0099302C" w:rsidRPr="00482F7E" w:rsidRDefault="0099302C" w:rsidP="0099302C">
      <w:pPr>
        <w:rPr>
          <w:sz w:val="18"/>
          <w:szCs w:val="16"/>
        </w:rPr>
      </w:pPr>
      <w:r w:rsidRPr="00482F7E">
        <w:rPr>
          <w:sz w:val="18"/>
          <w:szCs w:val="16"/>
          <w:vertAlign w:val="superscript"/>
        </w:rPr>
        <w:t>a</w:t>
      </w:r>
      <w:r w:rsidRPr="00482F7E">
        <w:rPr>
          <w:sz w:val="18"/>
          <w:szCs w:val="16"/>
        </w:rPr>
        <w:t xml:space="preserve">Evidence of ≥1 inpatient or ≥2 non-diagnostic outpatient claims with separate dates; </w:t>
      </w:r>
      <w:r w:rsidRPr="00482F7E">
        <w:rPr>
          <w:sz w:val="18"/>
          <w:szCs w:val="16"/>
          <w:vertAlign w:val="superscript"/>
        </w:rPr>
        <w:t>b</w:t>
      </w:r>
      <w:r w:rsidRPr="00482F7E">
        <w:rPr>
          <w:sz w:val="18"/>
          <w:szCs w:val="16"/>
        </w:rPr>
        <w:t xml:space="preserve">Presence of chronic lower respiratory illness other than asthma, primary eosinophilic disorders, cancer, or an autoimmune disorder (conditions commonly treated with SCS) resulted in exclusion; </w:t>
      </w:r>
      <w:r w:rsidRPr="00482F7E">
        <w:rPr>
          <w:sz w:val="18"/>
          <w:szCs w:val="16"/>
          <w:vertAlign w:val="superscript"/>
        </w:rPr>
        <w:t>c</w:t>
      </w:r>
      <w:r w:rsidRPr="00482F7E">
        <w:rPr>
          <w:sz w:val="18"/>
          <w:szCs w:val="16"/>
        </w:rPr>
        <w:t>Patients with clinically implausible SCS exposures during the post-index period (outside the 1</w:t>
      </w:r>
      <w:r w:rsidRPr="00482F7E">
        <w:rPr>
          <w:sz w:val="18"/>
          <w:szCs w:val="16"/>
          <w:vertAlign w:val="superscript"/>
        </w:rPr>
        <w:t>st</w:t>
      </w:r>
      <w:r w:rsidRPr="00482F7E">
        <w:rPr>
          <w:sz w:val="18"/>
          <w:szCs w:val="16"/>
        </w:rPr>
        <w:t>–99.8</w:t>
      </w:r>
      <w:r w:rsidRPr="00482F7E">
        <w:rPr>
          <w:sz w:val="18"/>
          <w:szCs w:val="16"/>
          <w:vertAlign w:val="superscript"/>
        </w:rPr>
        <w:t>th</w:t>
      </w:r>
      <w:r w:rsidRPr="00482F7E">
        <w:rPr>
          <w:sz w:val="18"/>
          <w:szCs w:val="16"/>
        </w:rPr>
        <w:t xml:space="preserve"> percentile) were excluded.</w:t>
      </w:r>
    </w:p>
    <w:p w14:paraId="58D1867C" w14:textId="77777777" w:rsidR="0099302C" w:rsidRDefault="0099302C" w:rsidP="0099302C">
      <w:pPr>
        <w:rPr>
          <w:sz w:val="18"/>
          <w:szCs w:val="16"/>
        </w:rPr>
      </w:pPr>
      <w:r w:rsidRPr="00482F7E">
        <w:rPr>
          <w:sz w:val="18"/>
          <w:szCs w:val="16"/>
        </w:rPr>
        <w:t xml:space="preserve">ICS, inhaled corticosteroids; SABA, short-acting </w:t>
      </w:r>
      <w:r w:rsidRPr="00482F7E">
        <w:rPr>
          <w:sz w:val="18"/>
          <w:szCs w:val="16"/>
          <w:lang w:val="el-GR"/>
        </w:rPr>
        <w:t>β</w:t>
      </w:r>
      <w:r w:rsidRPr="00482F7E">
        <w:rPr>
          <w:sz w:val="18"/>
          <w:szCs w:val="16"/>
          <w:vertAlign w:val="subscript"/>
          <w:lang w:val="el-GR"/>
        </w:rPr>
        <w:t>2</w:t>
      </w:r>
      <w:r w:rsidRPr="00482F7E">
        <w:rPr>
          <w:sz w:val="18"/>
          <w:szCs w:val="16"/>
          <w:lang w:val="el-GR"/>
        </w:rPr>
        <w:t>-</w:t>
      </w:r>
      <w:r w:rsidRPr="00482F7E">
        <w:rPr>
          <w:sz w:val="18"/>
          <w:szCs w:val="16"/>
        </w:rPr>
        <w:t>agonist; SCS, systemic corticosteroids.</w:t>
      </w:r>
    </w:p>
    <w:p w14:paraId="64BDD603" w14:textId="5CCDC9DE" w:rsidR="00C56918" w:rsidRPr="00174CFF" w:rsidRDefault="00C56918"/>
    <w:sectPr w:rsidR="00C56918" w:rsidRPr="00174CFF" w:rsidSect="001F2C43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4C1A91" w14:textId="77777777" w:rsidR="008D036C" w:rsidRDefault="008D036C">
      <w:pPr>
        <w:spacing w:after="0" w:line="240" w:lineRule="auto"/>
      </w:pPr>
      <w:r>
        <w:separator/>
      </w:r>
    </w:p>
  </w:endnote>
  <w:endnote w:type="continuationSeparator" w:id="0">
    <w:p w14:paraId="176B1A65" w14:textId="77777777" w:rsidR="008D036C" w:rsidRDefault="008D036C">
      <w:pPr>
        <w:spacing w:after="0" w:line="240" w:lineRule="auto"/>
      </w:pPr>
      <w:r>
        <w:continuationSeparator/>
      </w:r>
    </w:p>
  </w:endnote>
  <w:endnote w:type="continuationNotice" w:id="1">
    <w:p w14:paraId="757BFA68" w14:textId="77777777" w:rsidR="008D036C" w:rsidRDefault="008D036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115B9" w14:textId="77777777" w:rsidR="004D3DA1" w:rsidRDefault="004D3D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3B4FC" w14:textId="35D85AB4" w:rsidR="00907F09" w:rsidRDefault="00096919">
    <w:pPr>
      <w:pStyle w:val="Footer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81C8BC0" wp14:editId="49CF0265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bf7d4ffab134acd66d8dffe3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C101F9" w14:textId="0B8E9A77" w:rsidR="00096919" w:rsidRPr="00096919" w:rsidRDefault="00096919" w:rsidP="00096919">
                          <w:pPr>
                            <w:spacing w:after="0"/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</w:pPr>
                          <w:r w:rsidRPr="00096919"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1C8BC0" id="_x0000_t202" coordsize="21600,21600" o:spt="202" path="m,l,21600r21600,l21600,xe">
              <v:stroke joinstyle="miter"/>
              <v:path gradientshapeok="t" o:connecttype="rect"/>
            </v:shapetype>
            <v:shape id="MSIPCMbf7d4ffab134acd66d8dffe3" o:spid="_x0000_s1038" type="#_x0000_t202" alt="{&quot;HashCode&quot;:-1348403003,&quot;Height&quot;:841.0,&quot;Width&quot;:595.0,&quot;Placement&quot;:&quot;Footer&quot;,&quot;Index&quot;:&quot;Primary&quot;,&quot;Section&quot;:1,&quot;Top&quot;:0.0,&quot;Left&quot;:0.0}" style="position:absolute;left:0;text-align:left;margin-left:0;margin-top:806.1pt;width:595.3pt;height:20.7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" o:allowincell="f" filled="f" stroked="f" strokeweight=".5pt">
              <v:textbox inset="20pt,0,,0">
                <w:txbxContent>
                  <w:p w14:paraId="06C101F9" w14:textId="0B8E9A77" w:rsidR="00096919" w:rsidRPr="00096919" w:rsidRDefault="00096919" w:rsidP="00096919">
                    <w:pPr>
                      <w:spacing w:after="0"/>
                      <w:rPr>
                        <w:rFonts w:ascii="Rockwell" w:hAnsi="Rockwell"/>
                        <w:color w:val="0078D7"/>
                        <w:sz w:val="18"/>
                      </w:rPr>
                    </w:pPr>
                    <w:r w:rsidRPr="00096919"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46990614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907F09">
          <w:fldChar w:fldCharType="begin"/>
        </w:r>
        <w:r w:rsidR="00907F09">
          <w:instrText xml:space="preserve"> PAGE   \* MERGEFORMAT </w:instrText>
        </w:r>
        <w:r w:rsidR="00907F09">
          <w:fldChar w:fldCharType="separate"/>
        </w:r>
        <w:r w:rsidR="00907F09">
          <w:rPr>
            <w:noProof/>
          </w:rPr>
          <w:t>2</w:t>
        </w:r>
        <w:r w:rsidR="00907F09">
          <w:rPr>
            <w:noProof/>
          </w:rPr>
          <w:fldChar w:fldCharType="end"/>
        </w:r>
      </w:sdtContent>
    </w:sdt>
  </w:p>
  <w:p w14:paraId="5419CA4F" w14:textId="77777777" w:rsidR="00907F09" w:rsidRDefault="00907F0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C8F7E" w14:textId="77777777" w:rsidR="00907F09" w:rsidRDefault="00907F09">
    <w:pPr>
      <w:pStyle w:val="Footer"/>
      <w:jc w:val="right"/>
    </w:pPr>
  </w:p>
  <w:p w14:paraId="13B9CA30" w14:textId="77777777" w:rsidR="00907F09" w:rsidRDefault="00907F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E24D2" w14:textId="77777777" w:rsidR="008D036C" w:rsidRDefault="008D036C">
      <w:pPr>
        <w:spacing w:after="0" w:line="240" w:lineRule="auto"/>
      </w:pPr>
      <w:r>
        <w:separator/>
      </w:r>
    </w:p>
  </w:footnote>
  <w:footnote w:type="continuationSeparator" w:id="0">
    <w:p w14:paraId="5321CD85" w14:textId="77777777" w:rsidR="008D036C" w:rsidRDefault="008D036C">
      <w:pPr>
        <w:spacing w:after="0" w:line="240" w:lineRule="auto"/>
      </w:pPr>
      <w:r>
        <w:continuationSeparator/>
      </w:r>
    </w:p>
  </w:footnote>
  <w:footnote w:type="continuationNotice" w:id="1">
    <w:p w14:paraId="03B908BD" w14:textId="77777777" w:rsidR="008D036C" w:rsidRDefault="008D036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021F6" w14:textId="77777777" w:rsidR="004D3DA1" w:rsidRDefault="004D3D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CB2D3" w14:textId="77777777" w:rsidR="004D3DA1" w:rsidRDefault="004D3DA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F4B16" w14:textId="77777777" w:rsidR="004D3DA1" w:rsidRDefault="004D3D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450241"/>
    <w:multiLevelType w:val="hybridMultilevel"/>
    <w:tmpl w:val="B7F6E882"/>
    <w:lvl w:ilvl="0" w:tplc="D862D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3B4873"/>
    <w:multiLevelType w:val="hybridMultilevel"/>
    <w:tmpl w:val="6E06550A"/>
    <w:lvl w:ilvl="0" w:tplc="34D4F8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219C3"/>
    <w:multiLevelType w:val="hybridMultilevel"/>
    <w:tmpl w:val="0066C5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A5EB2"/>
    <w:multiLevelType w:val="hybridMultilevel"/>
    <w:tmpl w:val="2BAA5DD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253628"/>
    <w:multiLevelType w:val="hybridMultilevel"/>
    <w:tmpl w:val="D194D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2D7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D862D7E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6476D5"/>
    <w:multiLevelType w:val="hybridMultilevel"/>
    <w:tmpl w:val="BC0E030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AE1131F"/>
    <w:multiLevelType w:val="hybridMultilevel"/>
    <w:tmpl w:val="71A093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BAE450F"/>
    <w:multiLevelType w:val="hybridMultilevel"/>
    <w:tmpl w:val="12BC3B2E"/>
    <w:lvl w:ilvl="0" w:tplc="CD5867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7842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9051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3C0C7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B164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9CC8D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5C9B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009C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2CCB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CD318AF"/>
    <w:multiLevelType w:val="hybridMultilevel"/>
    <w:tmpl w:val="28C21CDE"/>
    <w:lvl w:ilvl="0" w:tplc="D7241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3469DA"/>
    <w:multiLevelType w:val="hybridMultilevel"/>
    <w:tmpl w:val="7EC27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862D7E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E658B9"/>
    <w:multiLevelType w:val="hybridMultilevel"/>
    <w:tmpl w:val="684A3F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D862D7E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auto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3240311">
    <w:abstractNumId w:val="8"/>
  </w:num>
  <w:num w:numId="2" w16cid:durableId="1166556488">
    <w:abstractNumId w:val="10"/>
  </w:num>
  <w:num w:numId="3" w16cid:durableId="868374804">
    <w:abstractNumId w:val="7"/>
  </w:num>
  <w:num w:numId="4" w16cid:durableId="1755741353">
    <w:abstractNumId w:val="5"/>
  </w:num>
  <w:num w:numId="5" w16cid:durableId="451100347">
    <w:abstractNumId w:val="1"/>
  </w:num>
  <w:num w:numId="6" w16cid:durableId="1309437685">
    <w:abstractNumId w:val="6"/>
  </w:num>
  <w:num w:numId="7" w16cid:durableId="1196843705">
    <w:abstractNumId w:val="3"/>
  </w:num>
  <w:num w:numId="8" w16cid:durableId="1088893422">
    <w:abstractNumId w:val="2"/>
  </w:num>
  <w:num w:numId="9" w16cid:durableId="740829416">
    <w:abstractNumId w:val="9"/>
  </w:num>
  <w:num w:numId="10" w16cid:durableId="1595359950">
    <w:abstractNumId w:val="0"/>
  </w:num>
  <w:num w:numId="11" w16cid:durableId="12229800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removeDateAndTime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250119"/>
    <w:rsid w:val="00002743"/>
    <w:rsid w:val="00002E66"/>
    <w:rsid w:val="00005905"/>
    <w:rsid w:val="00006E02"/>
    <w:rsid w:val="00007124"/>
    <w:rsid w:val="00011664"/>
    <w:rsid w:val="00011716"/>
    <w:rsid w:val="00012D72"/>
    <w:rsid w:val="0001457F"/>
    <w:rsid w:val="000208E2"/>
    <w:rsid w:val="00021A34"/>
    <w:rsid w:val="00024939"/>
    <w:rsid w:val="00024D50"/>
    <w:rsid w:val="00027BA7"/>
    <w:rsid w:val="00044EDA"/>
    <w:rsid w:val="000543B6"/>
    <w:rsid w:val="00061657"/>
    <w:rsid w:val="00062D1F"/>
    <w:rsid w:val="00064344"/>
    <w:rsid w:val="0006669E"/>
    <w:rsid w:val="0006780F"/>
    <w:rsid w:val="000709CE"/>
    <w:rsid w:val="00070B44"/>
    <w:rsid w:val="00070C31"/>
    <w:rsid w:val="00076F5B"/>
    <w:rsid w:val="00080291"/>
    <w:rsid w:val="00086AB7"/>
    <w:rsid w:val="0008792D"/>
    <w:rsid w:val="00092C20"/>
    <w:rsid w:val="00095236"/>
    <w:rsid w:val="0009597B"/>
    <w:rsid w:val="00096919"/>
    <w:rsid w:val="000A2283"/>
    <w:rsid w:val="000A6353"/>
    <w:rsid w:val="000B10B9"/>
    <w:rsid w:val="000B303E"/>
    <w:rsid w:val="000B49F9"/>
    <w:rsid w:val="000C30D9"/>
    <w:rsid w:val="000C565F"/>
    <w:rsid w:val="000C6D93"/>
    <w:rsid w:val="000D1096"/>
    <w:rsid w:val="000D2262"/>
    <w:rsid w:val="000E1E04"/>
    <w:rsid w:val="000E4A2A"/>
    <w:rsid w:val="000E53EE"/>
    <w:rsid w:val="000F3AA3"/>
    <w:rsid w:val="000F4EC6"/>
    <w:rsid w:val="000F5783"/>
    <w:rsid w:val="00100C18"/>
    <w:rsid w:val="001027A6"/>
    <w:rsid w:val="00104F4F"/>
    <w:rsid w:val="00110008"/>
    <w:rsid w:val="0011063E"/>
    <w:rsid w:val="00110E2B"/>
    <w:rsid w:val="0011434C"/>
    <w:rsid w:val="00117C86"/>
    <w:rsid w:val="001213FE"/>
    <w:rsid w:val="00121890"/>
    <w:rsid w:val="001234D3"/>
    <w:rsid w:val="00123B04"/>
    <w:rsid w:val="00132C2B"/>
    <w:rsid w:val="001330AA"/>
    <w:rsid w:val="00134544"/>
    <w:rsid w:val="0014277D"/>
    <w:rsid w:val="00145D74"/>
    <w:rsid w:val="00146A96"/>
    <w:rsid w:val="00150AFF"/>
    <w:rsid w:val="00153AF1"/>
    <w:rsid w:val="00154EC0"/>
    <w:rsid w:val="00155143"/>
    <w:rsid w:val="001603A0"/>
    <w:rsid w:val="00164785"/>
    <w:rsid w:val="00174CFF"/>
    <w:rsid w:val="00175BA6"/>
    <w:rsid w:val="00181062"/>
    <w:rsid w:val="0018175C"/>
    <w:rsid w:val="0018230F"/>
    <w:rsid w:val="001871D1"/>
    <w:rsid w:val="001906FF"/>
    <w:rsid w:val="001920A8"/>
    <w:rsid w:val="001A1138"/>
    <w:rsid w:val="001B40FB"/>
    <w:rsid w:val="001C1EBA"/>
    <w:rsid w:val="001C71E8"/>
    <w:rsid w:val="001C7AC6"/>
    <w:rsid w:val="001D11B8"/>
    <w:rsid w:val="001D5D5F"/>
    <w:rsid w:val="001D65E5"/>
    <w:rsid w:val="001E02EF"/>
    <w:rsid w:val="001E339B"/>
    <w:rsid w:val="001E6116"/>
    <w:rsid w:val="001E6F48"/>
    <w:rsid w:val="001F2C43"/>
    <w:rsid w:val="001F40A3"/>
    <w:rsid w:val="001F6C8D"/>
    <w:rsid w:val="002040A4"/>
    <w:rsid w:val="00206E54"/>
    <w:rsid w:val="00211F22"/>
    <w:rsid w:val="002132E9"/>
    <w:rsid w:val="0021457F"/>
    <w:rsid w:val="00216C7B"/>
    <w:rsid w:val="00217957"/>
    <w:rsid w:val="002233B1"/>
    <w:rsid w:val="002237F6"/>
    <w:rsid w:val="00223AA1"/>
    <w:rsid w:val="00223E72"/>
    <w:rsid w:val="0022561F"/>
    <w:rsid w:val="00226042"/>
    <w:rsid w:val="002267C1"/>
    <w:rsid w:val="00227A2B"/>
    <w:rsid w:val="0023224B"/>
    <w:rsid w:val="002348CD"/>
    <w:rsid w:val="00242659"/>
    <w:rsid w:val="002450FB"/>
    <w:rsid w:val="00245197"/>
    <w:rsid w:val="002470F0"/>
    <w:rsid w:val="00250119"/>
    <w:rsid w:val="00251916"/>
    <w:rsid w:val="002544C1"/>
    <w:rsid w:val="00255000"/>
    <w:rsid w:val="00262325"/>
    <w:rsid w:val="002627D7"/>
    <w:rsid w:val="00264ED9"/>
    <w:rsid w:val="00267E80"/>
    <w:rsid w:val="00270830"/>
    <w:rsid w:val="00270B93"/>
    <w:rsid w:val="00275822"/>
    <w:rsid w:val="002761C8"/>
    <w:rsid w:val="00280450"/>
    <w:rsid w:val="00290648"/>
    <w:rsid w:val="00290C7D"/>
    <w:rsid w:val="002A45A8"/>
    <w:rsid w:val="002A45CE"/>
    <w:rsid w:val="002A63B6"/>
    <w:rsid w:val="002A795D"/>
    <w:rsid w:val="002B098C"/>
    <w:rsid w:val="002B6D68"/>
    <w:rsid w:val="002B7707"/>
    <w:rsid w:val="002C4A55"/>
    <w:rsid w:val="002C71E8"/>
    <w:rsid w:val="002C7984"/>
    <w:rsid w:val="002C7DC6"/>
    <w:rsid w:val="002D1E27"/>
    <w:rsid w:val="002D271A"/>
    <w:rsid w:val="002D7407"/>
    <w:rsid w:val="002E00A1"/>
    <w:rsid w:val="002E722D"/>
    <w:rsid w:val="002F4766"/>
    <w:rsid w:val="002F65E0"/>
    <w:rsid w:val="00300395"/>
    <w:rsid w:val="00301121"/>
    <w:rsid w:val="0030370A"/>
    <w:rsid w:val="00303DC4"/>
    <w:rsid w:val="00306BEA"/>
    <w:rsid w:val="00312571"/>
    <w:rsid w:val="00314CF3"/>
    <w:rsid w:val="00316FB1"/>
    <w:rsid w:val="00317B7B"/>
    <w:rsid w:val="003216E9"/>
    <w:rsid w:val="00322A13"/>
    <w:rsid w:val="003245A3"/>
    <w:rsid w:val="00326A68"/>
    <w:rsid w:val="00330E98"/>
    <w:rsid w:val="00336419"/>
    <w:rsid w:val="003452AC"/>
    <w:rsid w:val="00345E9F"/>
    <w:rsid w:val="003465BA"/>
    <w:rsid w:val="00350612"/>
    <w:rsid w:val="003569F1"/>
    <w:rsid w:val="00357F51"/>
    <w:rsid w:val="0036280B"/>
    <w:rsid w:val="00364324"/>
    <w:rsid w:val="00365EF4"/>
    <w:rsid w:val="00370699"/>
    <w:rsid w:val="00374ABB"/>
    <w:rsid w:val="00375113"/>
    <w:rsid w:val="003775E1"/>
    <w:rsid w:val="00377C07"/>
    <w:rsid w:val="00380838"/>
    <w:rsid w:val="00387670"/>
    <w:rsid w:val="00392F77"/>
    <w:rsid w:val="00396476"/>
    <w:rsid w:val="003964E9"/>
    <w:rsid w:val="003967D3"/>
    <w:rsid w:val="00396AEC"/>
    <w:rsid w:val="003A1045"/>
    <w:rsid w:val="003A2DA6"/>
    <w:rsid w:val="003A433A"/>
    <w:rsid w:val="003A6AC5"/>
    <w:rsid w:val="003B1CEC"/>
    <w:rsid w:val="003B59EA"/>
    <w:rsid w:val="003C2C25"/>
    <w:rsid w:val="003C5DE3"/>
    <w:rsid w:val="003C6E70"/>
    <w:rsid w:val="003C7F47"/>
    <w:rsid w:val="003D2315"/>
    <w:rsid w:val="003D3431"/>
    <w:rsid w:val="003E1BCD"/>
    <w:rsid w:val="003E423D"/>
    <w:rsid w:val="003E50C9"/>
    <w:rsid w:val="003F4CF0"/>
    <w:rsid w:val="003F794B"/>
    <w:rsid w:val="004050AA"/>
    <w:rsid w:val="004076AA"/>
    <w:rsid w:val="00414FCB"/>
    <w:rsid w:val="00421F94"/>
    <w:rsid w:val="004239F4"/>
    <w:rsid w:val="00424EF2"/>
    <w:rsid w:val="0043214F"/>
    <w:rsid w:val="0044119B"/>
    <w:rsid w:val="004427EA"/>
    <w:rsid w:val="004459B8"/>
    <w:rsid w:val="00445AB8"/>
    <w:rsid w:val="004466EB"/>
    <w:rsid w:val="00451EBA"/>
    <w:rsid w:val="00453371"/>
    <w:rsid w:val="00462C32"/>
    <w:rsid w:val="004632C4"/>
    <w:rsid w:val="00464187"/>
    <w:rsid w:val="00465ABD"/>
    <w:rsid w:val="0047368B"/>
    <w:rsid w:val="0047417D"/>
    <w:rsid w:val="004746DF"/>
    <w:rsid w:val="004828B4"/>
    <w:rsid w:val="00482F7E"/>
    <w:rsid w:val="004835A3"/>
    <w:rsid w:val="00484201"/>
    <w:rsid w:val="0048575F"/>
    <w:rsid w:val="00485F52"/>
    <w:rsid w:val="004870CB"/>
    <w:rsid w:val="004916C3"/>
    <w:rsid w:val="00492865"/>
    <w:rsid w:val="004977BE"/>
    <w:rsid w:val="00497F0F"/>
    <w:rsid w:val="004A2FB6"/>
    <w:rsid w:val="004B01B2"/>
    <w:rsid w:val="004B2C86"/>
    <w:rsid w:val="004B34CB"/>
    <w:rsid w:val="004C08C8"/>
    <w:rsid w:val="004C166C"/>
    <w:rsid w:val="004C1922"/>
    <w:rsid w:val="004D0D1D"/>
    <w:rsid w:val="004D3DA1"/>
    <w:rsid w:val="004D41E2"/>
    <w:rsid w:val="004D5BED"/>
    <w:rsid w:val="004D7E4F"/>
    <w:rsid w:val="004E01E2"/>
    <w:rsid w:val="004E0ED0"/>
    <w:rsid w:val="004E6745"/>
    <w:rsid w:val="004F1156"/>
    <w:rsid w:val="004F2648"/>
    <w:rsid w:val="004F2CA1"/>
    <w:rsid w:val="004F42F9"/>
    <w:rsid w:val="004F518F"/>
    <w:rsid w:val="004F61F1"/>
    <w:rsid w:val="004F62DD"/>
    <w:rsid w:val="004F6DA2"/>
    <w:rsid w:val="00503778"/>
    <w:rsid w:val="005066F7"/>
    <w:rsid w:val="00506D67"/>
    <w:rsid w:val="00515E7B"/>
    <w:rsid w:val="00515FFA"/>
    <w:rsid w:val="00524A20"/>
    <w:rsid w:val="00527C50"/>
    <w:rsid w:val="00536327"/>
    <w:rsid w:val="00536971"/>
    <w:rsid w:val="00540A42"/>
    <w:rsid w:val="00545F56"/>
    <w:rsid w:val="00556C34"/>
    <w:rsid w:val="005648A5"/>
    <w:rsid w:val="00580B55"/>
    <w:rsid w:val="0058177F"/>
    <w:rsid w:val="005846A6"/>
    <w:rsid w:val="00592D25"/>
    <w:rsid w:val="00595A97"/>
    <w:rsid w:val="0059650D"/>
    <w:rsid w:val="005973E0"/>
    <w:rsid w:val="005A13FA"/>
    <w:rsid w:val="005A246F"/>
    <w:rsid w:val="005A50BA"/>
    <w:rsid w:val="005B4213"/>
    <w:rsid w:val="005B61D5"/>
    <w:rsid w:val="005B66F4"/>
    <w:rsid w:val="005C00D1"/>
    <w:rsid w:val="005C02BF"/>
    <w:rsid w:val="005C1C38"/>
    <w:rsid w:val="005C5FA7"/>
    <w:rsid w:val="005D5A45"/>
    <w:rsid w:val="005E05DC"/>
    <w:rsid w:val="005E0669"/>
    <w:rsid w:val="005E4899"/>
    <w:rsid w:val="005E7331"/>
    <w:rsid w:val="005F134F"/>
    <w:rsid w:val="005F3624"/>
    <w:rsid w:val="005F3831"/>
    <w:rsid w:val="005F47A2"/>
    <w:rsid w:val="00602EB0"/>
    <w:rsid w:val="00605827"/>
    <w:rsid w:val="006106CC"/>
    <w:rsid w:val="00614A71"/>
    <w:rsid w:val="00615AD7"/>
    <w:rsid w:val="00615C11"/>
    <w:rsid w:val="006177AC"/>
    <w:rsid w:val="006216CF"/>
    <w:rsid w:val="006231FF"/>
    <w:rsid w:val="00632FF0"/>
    <w:rsid w:val="00634CFE"/>
    <w:rsid w:val="006352D5"/>
    <w:rsid w:val="00640898"/>
    <w:rsid w:val="0064278B"/>
    <w:rsid w:val="006457A5"/>
    <w:rsid w:val="00646104"/>
    <w:rsid w:val="00647DD0"/>
    <w:rsid w:val="00650033"/>
    <w:rsid w:val="00651104"/>
    <w:rsid w:val="00655FD8"/>
    <w:rsid w:val="0065677A"/>
    <w:rsid w:val="00661341"/>
    <w:rsid w:val="0066732B"/>
    <w:rsid w:val="0067034B"/>
    <w:rsid w:val="0067559E"/>
    <w:rsid w:val="00683580"/>
    <w:rsid w:val="00683759"/>
    <w:rsid w:val="00690FDE"/>
    <w:rsid w:val="006925EE"/>
    <w:rsid w:val="00693902"/>
    <w:rsid w:val="00693A1A"/>
    <w:rsid w:val="006956CA"/>
    <w:rsid w:val="006A0418"/>
    <w:rsid w:val="006A146F"/>
    <w:rsid w:val="006A15FA"/>
    <w:rsid w:val="006A2ACF"/>
    <w:rsid w:val="006A6860"/>
    <w:rsid w:val="006B1B66"/>
    <w:rsid w:val="006B3AC4"/>
    <w:rsid w:val="006B4D05"/>
    <w:rsid w:val="006B57A8"/>
    <w:rsid w:val="006C5534"/>
    <w:rsid w:val="006D2882"/>
    <w:rsid w:val="006D741C"/>
    <w:rsid w:val="006E7703"/>
    <w:rsid w:val="006F2147"/>
    <w:rsid w:val="006F2D43"/>
    <w:rsid w:val="00701108"/>
    <w:rsid w:val="00703190"/>
    <w:rsid w:val="007038EE"/>
    <w:rsid w:val="00704C1D"/>
    <w:rsid w:val="00705F34"/>
    <w:rsid w:val="00706875"/>
    <w:rsid w:val="00706A0F"/>
    <w:rsid w:val="00707843"/>
    <w:rsid w:val="007114F8"/>
    <w:rsid w:val="0071229C"/>
    <w:rsid w:val="0071583A"/>
    <w:rsid w:val="00716EEC"/>
    <w:rsid w:val="00720A7F"/>
    <w:rsid w:val="00721DDB"/>
    <w:rsid w:val="00724693"/>
    <w:rsid w:val="00726953"/>
    <w:rsid w:val="0072782A"/>
    <w:rsid w:val="00727871"/>
    <w:rsid w:val="00730C0A"/>
    <w:rsid w:val="00731B5A"/>
    <w:rsid w:val="00733A60"/>
    <w:rsid w:val="00737A7F"/>
    <w:rsid w:val="0074157E"/>
    <w:rsid w:val="007424CC"/>
    <w:rsid w:val="00743398"/>
    <w:rsid w:val="00744220"/>
    <w:rsid w:val="00746F20"/>
    <w:rsid w:val="007559C1"/>
    <w:rsid w:val="00757677"/>
    <w:rsid w:val="0076526C"/>
    <w:rsid w:val="00767BE9"/>
    <w:rsid w:val="00770F01"/>
    <w:rsid w:val="00772EC1"/>
    <w:rsid w:val="00777C7C"/>
    <w:rsid w:val="007868D8"/>
    <w:rsid w:val="00791D06"/>
    <w:rsid w:val="0079241D"/>
    <w:rsid w:val="0079495B"/>
    <w:rsid w:val="0079496D"/>
    <w:rsid w:val="0079552A"/>
    <w:rsid w:val="00796C3F"/>
    <w:rsid w:val="007A382F"/>
    <w:rsid w:val="007A5E77"/>
    <w:rsid w:val="007A7D85"/>
    <w:rsid w:val="007B536C"/>
    <w:rsid w:val="007C1E06"/>
    <w:rsid w:val="007C24D3"/>
    <w:rsid w:val="007C3527"/>
    <w:rsid w:val="007C41D4"/>
    <w:rsid w:val="007C460D"/>
    <w:rsid w:val="007C6797"/>
    <w:rsid w:val="007C7F73"/>
    <w:rsid w:val="007D5701"/>
    <w:rsid w:val="007D6F4D"/>
    <w:rsid w:val="007E1EF1"/>
    <w:rsid w:val="007E4C0D"/>
    <w:rsid w:val="007E530E"/>
    <w:rsid w:val="007E7A55"/>
    <w:rsid w:val="007F14FF"/>
    <w:rsid w:val="007F243F"/>
    <w:rsid w:val="007F3584"/>
    <w:rsid w:val="007F6E05"/>
    <w:rsid w:val="00800C33"/>
    <w:rsid w:val="0080369C"/>
    <w:rsid w:val="0080397A"/>
    <w:rsid w:val="00806683"/>
    <w:rsid w:val="0080671A"/>
    <w:rsid w:val="00806CB7"/>
    <w:rsid w:val="008101A9"/>
    <w:rsid w:val="008113D8"/>
    <w:rsid w:val="00811E10"/>
    <w:rsid w:val="00813E96"/>
    <w:rsid w:val="00820A68"/>
    <w:rsid w:val="00821341"/>
    <w:rsid w:val="0082284D"/>
    <w:rsid w:val="008237EC"/>
    <w:rsid w:val="00823BDC"/>
    <w:rsid w:val="0083766B"/>
    <w:rsid w:val="00837FC7"/>
    <w:rsid w:val="00840B9A"/>
    <w:rsid w:val="00842024"/>
    <w:rsid w:val="00843CC6"/>
    <w:rsid w:val="0084465D"/>
    <w:rsid w:val="00864672"/>
    <w:rsid w:val="00864CFA"/>
    <w:rsid w:val="008668D1"/>
    <w:rsid w:val="0087483E"/>
    <w:rsid w:val="008761DE"/>
    <w:rsid w:val="00881BE8"/>
    <w:rsid w:val="008849EC"/>
    <w:rsid w:val="00890800"/>
    <w:rsid w:val="008941E6"/>
    <w:rsid w:val="00894FDA"/>
    <w:rsid w:val="00895522"/>
    <w:rsid w:val="00896C07"/>
    <w:rsid w:val="008A34BE"/>
    <w:rsid w:val="008A5102"/>
    <w:rsid w:val="008A5387"/>
    <w:rsid w:val="008B1E6D"/>
    <w:rsid w:val="008B2E9A"/>
    <w:rsid w:val="008B5351"/>
    <w:rsid w:val="008B5A77"/>
    <w:rsid w:val="008B661E"/>
    <w:rsid w:val="008C4762"/>
    <w:rsid w:val="008C60D1"/>
    <w:rsid w:val="008C6935"/>
    <w:rsid w:val="008D036C"/>
    <w:rsid w:val="008D526B"/>
    <w:rsid w:val="008E36EC"/>
    <w:rsid w:val="008E66DC"/>
    <w:rsid w:val="008F17E1"/>
    <w:rsid w:val="008F247E"/>
    <w:rsid w:val="008F789D"/>
    <w:rsid w:val="00901134"/>
    <w:rsid w:val="00901D5B"/>
    <w:rsid w:val="00906C6B"/>
    <w:rsid w:val="00907F09"/>
    <w:rsid w:val="00910B87"/>
    <w:rsid w:val="0092065B"/>
    <w:rsid w:val="00921153"/>
    <w:rsid w:val="00930EFA"/>
    <w:rsid w:val="00933B67"/>
    <w:rsid w:val="00935752"/>
    <w:rsid w:val="00940DC9"/>
    <w:rsid w:val="0094159F"/>
    <w:rsid w:val="0094489B"/>
    <w:rsid w:val="009450DF"/>
    <w:rsid w:val="00951ABB"/>
    <w:rsid w:val="00956941"/>
    <w:rsid w:val="009578CD"/>
    <w:rsid w:val="00960095"/>
    <w:rsid w:val="00962901"/>
    <w:rsid w:val="00965563"/>
    <w:rsid w:val="00965930"/>
    <w:rsid w:val="00972878"/>
    <w:rsid w:val="00973E09"/>
    <w:rsid w:val="00985BC8"/>
    <w:rsid w:val="009867B6"/>
    <w:rsid w:val="0099302C"/>
    <w:rsid w:val="0099318D"/>
    <w:rsid w:val="00993C53"/>
    <w:rsid w:val="009955F4"/>
    <w:rsid w:val="0099647D"/>
    <w:rsid w:val="00996ED0"/>
    <w:rsid w:val="0099736E"/>
    <w:rsid w:val="009A55DE"/>
    <w:rsid w:val="009A6DFB"/>
    <w:rsid w:val="009A7135"/>
    <w:rsid w:val="009A7CF9"/>
    <w:rsid w:val="009A7FF2"/>
    <w:rsid w:val="009B1A83"/>
    <w:rsid w:val="009B32BF"/>
    <w:rsid w:val="009B6040"/>
    <w:rsid w:val="009B702B"/>
    <w:rsid w:val="009C25DE"/>
    <w:rsid w:val="009C5BAB"/>
    <w:rsid w:val="009C6B7A"/>
    <w:rsid w:val="009D0E67"/>
    <w:rsid w:val="009D0F51"/>
    <w:rsid w:val="009E02C2"/>
    <w:rsid w:val="009E0612"/>
    <w:rsid w:val="009E191F"/>
    <w:rsid w:val="009E2A0A"/>
    <w:rsid w:val="009E4878"/>
    <w:rsid w:val="009E68B4"/>
    <w:rsid w:val="009F028F"/>
    <w:rsid w:val="009F44EC"/>
    <w:rsid w:val="009F71A7"/>
    <w:rsid w:val="00A01D49"/>
    <w:rsid w:val="00A11E5F"/>
    <w:rsid w:val="00A122B4"/>
    <w:rsid w:val="00A13562"/>
    <w:rsid w:val="00A13F42"/>
    <w:rsid w:val="00A143BF"/>
    <w:rsid w:val="00A14BF9"/>
    <w:rsid w:val="00A160AD"/>
    <w:rsid w:val="00A16AA2"/>
    <w:rsid w:val="00A17BC9"/>
    <w:rsid w:val="00A20763"/>
    <w:rsid w:val="00A22C4C"/>
    <w:rsid w:val="00A22C7D"/>
    <w:rsid w:val="00A32687"/>
    <w:rsid w:val="00A40F36"/>
    <w:rsid w:val="00A52469"/>
    <w:rsid w:val="00A57671"/>
    <w:rsid w:val="00A60A5F"/>
    <w:rsid w:val="00A60EBC"/>
    <w:rsid w:val="00A61A7F"/>
    <w:rsid w:val="00A61D6A"/>
    <w:rsid w:val="00A64B39"/>
    <w:rsid w:val="00A65899"/>
    <w:rsid w:val="00A67E45"/>
    <w:rsid w:val="00A74D19"/>
    <w:rsid w:val="00A77913"/>
    <w:rsid w:val="00A77E46"/>
    <w:rsid w:val="00A80213"/>
    <w:rsid w:val="00A8268C"/>
    <w:rsid w:val="00A86658"/>
    <w:rsid w:val="00A90377"/>
    <w:rsid w:val="00A94D20"/>
    <w:rsid w:val="00A977C5"/>
    <w:rsid w:val="00AB5BB0"/>
    <w:rsid w:val="00AB5F0C"/>
    <w:rsid w:val="00AC235E"/>
    <w:rsid w:val="00AC545F"/>
    <w:rsid w:val="00AC58A9"/>
    <w:rsid w:val="00AC7AD0"/>
    <w:rsid w:val="00AD1BE2"/>
    <w:rsid w:val="00AE5384"/>
    <w:rsid w:val="00AF3377"/>
    <w:rsid w:val="00AF488D"/>
    <w:rsid w:val="00AF5D60"/>
    <w:rsid w:val="00AF7038"/>
    <w:rsid w:val="00B04D06"/>
    <w:rsid w:val="00B10506"/>
    <w:rsid w:val="00B12DB9"/>
    <w:rsid w:val="00B13330"/>
    <w:rsid w:val="00B24DE7"/>
    <w:rsid w:val="00B27F11"/>
    <w:rsid w:val="00B306C7"/>
    <w:rsid w:val="00B335D2"/>
    <w:rsid w:val="00B37CE3"/>
    <w:rsid w:val="00B40F78"/>
    <w:rsid w:val="00B41A3B"/>
    <w:rsid w:val="00B471BD"/>
    <w:rsid w:val="00B71CC8"/>
    <w:rsid w:val="00B72485"/>
    <w:rsid w:val="00B74B14"/>
    <w:rsid w:val="00B75FC3"/>
    <w:rsid w:val="00B76329"/>
    <w:rsid w:val="00B77FC4"/>
    <w:rsid w:val="00B80994"/>
    <w:rsid w:val="00B81288"/>
    <w:rsid w:val="00B83D6A"/>
    <w:rsid w:val="00B851AC"/>
    <w:rsid w:val="00B87AAF"/>
    <w:rsid w:val="00B932D7"/>
    <w:rsid w:val="00B96169"/>
    <w:rsid w:val="00B978E0"/>
    <w:rsid w:val="00BB38E7"/>
    <w:rsid w:val="00BB4AA8"/>
    <w:rsid w:val="00BC2D17"/>
    <w:rsid w:val="00BC3733"/>
    <w:rsid w:val="00BC64CE"/>
    <w:rsid w:val="00BD0FAA"/>
    <w:rsid w:val="00BD323B"/>
    <w:rsid w:val="00BD73A2"/>
    <w:rsid w:val="00BE0FAF"/>
    <w:rsid w:val="00BE6643"/>
    <w:rsid w:val="00BF66DC"/>
    <w:rsid w:val="00C0077A"/>
    <w:rsid w:val="00C0501A"/>
    <w:rsid w:val="00C06AA8"/>
    <w:rsid w:val="00C124EA"/>
    <w:rsid w:val="00C13F51"/>
    <w:rsid w:val="00C154AA"/>
    <w:rsid w:val="00C22670"/>
    <w:rsid w:val="00C22EDB"/>
    <w:rsid w:val="00C241F8"/>
    <w:rsid w:val="00C33000"/>
    <w:rsid w:val="00C37DD5"/>
    <w:rsid w:val="00C41C4F"/>
    <w:rsid w:val="00C47E61"/>
    <w:rsid w:val="00C517AB"/>
    <w:rsid w:val="00C5333A"/>
    <w:rsid w:val="00C55CDB"/>
    <w:rsid w:val="00C56918"/>
    <w:rsid w:val="00C63EF5"/>
    <w:rsid w:val="00C65F98"/>
    <w:rsid w:val="00C66926"/>
    <w:rsid w:val="00C66A2D"/>
    <w:rsid w:val="00C66B55"/>
    <w:rsid w:val="00C66C4F"/>
    <w:rsid w:val="00C67F5D"/>
    <w:rsid w:val="00C70636"/>
    <w:rsid w:val="00C735A1"/>
    <w:rsid w:val="00C75080"/>
    <w:rsid w:val="00C820D1"/>
    <w:rsid w:val="00C83570"/>
    <w:rsid w:val="00C84B82"/>
    <w:rsid w:val="00C85490"/>
    <w:rsid w:val="00C86E4C"/>
    <w:rsid w:val="00C90031"/>
    <w:rsid w:val="00C96F8D"/>
    <w:rsid w:val="00C97A31"/>
    <w:rsid w:val="00CA670E"/>
    <w:rsid w:val="00CB0F8C"/>
    <w:rsid w:val="00CB3877"/>
    <w:rsid w:val="00CB4FE9"/>
    <w:rsid w:val="00CD1FE1"/>
    <w:rsid w:val="00CD3922"/>
    <w:rsid w:val="00CD3D32"/>
    <w:rsid w:val="00CD75C6"/>
    <w:rsid w:val="00CE2869"/>
    <w:rsid w:val="00CE296E"/>
    <w:rsid w:val="00CE4887"/>
    <w:rsid w:val="00CE64FA"/>
    <w:rsid w:val="00CF01E4"/>
    <w:rsid w:val="00CF0597"/>
    <w:rsid w:val="00CF0C96"/>
    <w:rsid w:val="00CF20A2"/>
    <w:rsid w:val="00CF226E"/>
    <w:rsid w:val="00D01854"/>
    <w:rsid w:val="00D01B38"/>
    <w:rsid w:val="00D03E03"/>
    <w:rsid w:val="00D104AB"/>
    <w:rsid w:val="00D108D3"/>
    <w:rsid w:val="00D17684"/>
    <w:rsid w:val="00D20631"/>
    <w:rsid w:val="00D22531"/>
    <w:rsid w:val="00D2310E"/>
    <w:rsid w:val="00D2672D"/>
    <w:rsid w:val="00D27752"/>
    <w:rsid w:val="00D321BD"/>
    <w:rsid w:val="00D357FD"/>
    <w:rsid w:val="00D4065D"/>
    <w:rsid w:val="00D4097A"/>
    <w:rsid w:val="00D41819"/>
    <w:rsid w:val="00D45A65"/>
    <w:rsid w:val="00D46CDE"/>
    <w:rsid w:val="00D50099"/>
    <w:rsid w:val="00D55038"/>
    <w:rsid w:val="00D554DB"/>
    <w:rsid w:val="00D621FE"/>
    <w:rsid w:val="00D63720"/>
    <w:rsid w:val="00D65E5E"/>
    <w:rsid w:val="00D6622D"/>
    <w:rsid w:val="00D67AE7"/>
    <w:rsid w:val="00D71E69"/>
    <w:rsid w:val="00D73D11"/>
    <w:rsid w:val="00D7538E"/>
    <w:rsid w:val="00D764DE"/>
    <w:rsid w:val="00D82621"/>
    <w:rsid w:val="00D83DA5"/>
    <w:rsid w:val="00D8645F"/>
    <w:rsid w:val="00D864A6"/>
    <w:rsid w:val="00D91238"/>
    <w:rsid w:val="00D922F3"/>
    <w:rsid w:val="00D93776"/>
    <w:rsid w:val="00D93F03"/>
    <w:rsid w:val="00D94467"/>
    <w:rsid w:val="00D94B89"/>
    <w:rsid w:val="00D95553"/>
    <w:rsid w:val="00D96444"/>
    <w:rsid w:val="00DA066D"/>
    <w:rsid w:val="00DA0EB3"/>
    <w:rsid w:val="00DA2ACD"/>
    <w:rsid w:val="00DB01AE"/>
    <w:rsid w:val="00DB4FF1"/>
    <w:rsid w:val="00DB5FFA"/>
    <w:rsid w:val="00DC1B1F"/>
    <w:rsid w:val="00DD0415"/>
    <w:rsid w:val="00DD048C"/>
    <w:rsid w:val="00DD1373"/>
    <w:rsid w:val="00DD1C58"/>
    <w:rsid w:val="00DD41C6"/>
    <w:rsid w:val="00DD7960"/>
    <w:rsid w:val="00DF16D8"/>
    <w:rsid w:val="00DF2F33"/>
    <w:rsid w:val="00DF3270"/>
    <w:rsid w:val="00DF4238"/>
    <w:rsid w:val="00DF4797"/>
    <w:rsid w:val="00DF4B23"/>
    <w:rsid w:val="00E0072D"/>
    <w:rsid w:val="00E07733"/>
    <w:rsid w:val="00E07BBE"/>
    <w:rsid w:val="00E10B12"/>
    <w:rsid w:val="00E1262A"/>
    <w:rsid w:val="00E1618F"/>
    <w:rsid w:val="00E170B8"/>
    <w:rsid w:val="00E17F15"/>
    <w:rsid w:val="00E20322"/>
    <w:rsid w:val="00E209CF"/>
    <w:rsid w:val="00E20D0B"/>
    <w:rsid w:val="00E22C7C"/>
    <w:rsid w:val="00E2405C"/>
    <w:rsid w:val="00E2552F"/>
    <w:rsid w:val="00E274CC"/>
    <w:rsid w:val="00E43644"/>
    <w:rsid w:val="00E43B58"/>
    <w:rsid w:val="00E502D0"/>
    <w:rsid w:val="00E51F65"/>
    <w:rsid w:val="00E53441"/>
    <w:rsid w:val="00E53800"/>
    <w:rsid w:val="00E54D4C"/>
    <w:rsid w:val="00E55F0B"/>
    <w:rsid w:val="00E63ED6"/>
    <w:rsid w:val="00E668C0"/>
    <w:rsid w:val="00E708A7"/>
    <w:rsid w:val="00E70B72"/>
    <w:rsid w:val="00E83810"/>
    <w:rsid w:val="00E86C43"/>
    <w:rsid w:val="00E90261"/>
    <w:rsid w:val="00E90F36"/>
    <w:rsid w:val="00E949C7"/>
    <w:rsid w:val="00E97D41"/>
    <w:rsid w:val="00EB1914"/>
    <w:rsid w:val="00EC15FC"/>
    <w:rsid w:val="00EC477F"/>
    <w:rsid w:val="00EC4C33"/>
    <w:rsid w:val="00EC7067"/>
    <w:rsid w:val="00ED5EF7"/>
    <w:rsid w:val="00EE0458"/>
    <w:rsid w:val="00EE2FE1"/>
    <w:rsid w:val="00EE6CDA"/>
    <w:rsid w:val="00EE75AC"/>
    <w:rsid w:val="00EF25D2"/>
    <w:rsid w:val="00EF2957"/>
    <w:rsid w:val="00EF4174"/>
    <w:rsid w:val="00EF573E"/>
    <w:rsid w:val="00EF6A33"/>
    <w:rsid w:val="00F0119A"/>
    <w:rsid w:val="00F03270"/>
    <w:rsid w:val="00F04CE5"/>
    <w:rsid w:val="00F0684D"/>
    <w:rsid w:val="00F075F4"/>
    <w:rsid w:val="00F077F4"/>
    <w:rsid w:val="00F11EC2"/>
    <w:rsid w:val="00F13DA7"/>
    <w:rsid w:val="00F1566A"/>
    <w:rsid w:val="00F21E24"/>
    <w:rsid w:val="00F22DB9"/>
    <w:rsid w:val="00F22E7A"/>
    <w:rsid w:val="00F27BCC"/>
    <w:rsid w:val="00F35B3B"/>
    <w:rsid w:val="00F367A4"/>
    <w:rsid w:val="00F41689"/>
    <w:rsid w:val="00F41CBF"/>
    <w:rsid w:val="00F4293C"/>
    <w:rsid w:val="00F46244"/>
    <w:rsid w:val="00F50EB0"/>
    <w:rsid w:val="00F51BC4"/>
    <w:rsid w:val="00F526DB"/>
    <w:rsid w:val="00F54C96"/>
    <w:rsid w:val="00F57A07"/>
    <w:rsid w:val="00F6695C"/>
    <w:rsid w:val="00F710A7"/>
    <w:rsid w:val="00F73F7F"/>
    <w:rsid w:val="00F76C9D"/>
    <w:rsid w:val="00F77C7D"/>
    <w:rsid w:val="00F80BB6"/>
    <w:rsid w:val="00F8358D"/>
    <w:rsid w:val="00F85B0C"/>
    <w:rsid w:val="00F85F05"/>
    <w:rsid w:val="00F8604C"/>
    <w:rsid w:val="00F8612D"/>
    <w:rsid w:val="00F8629D"/>
    <w:rsid w:val="00F87ACD"/>
    <w:rsid w:val="00F912C3"/>
    <w:rsid w:val="00F9438D"/>
    <w:rsid w:val="00F94A77"/>
    <w:rsid w:val="00FA01B4"/>
    <w:rsid w:val="00FA2712"/>
    <w:rsid w:val="00FA5572"/>
    <w:rsid w:val="00FA591E"/>
    <w:rsid w:val="00FB050F"/>
    <w:rsid w:val="00FB2D93"/>
    <w:rsid w:val="00FB352C"/>
    <w:rsid w:val="00FB4D14"/>
    <w:rsid w:val="00FC0BD6"/>
    <w:rsid w:val="00FC192B"/>
    <w:rsid w:val="00FD1609"/>
    <w:rsid w:val="00FD1EA8"/>
    <w:rsid w:val="00FD35B8"/>
    <w:rsid w:val="00FD6674"/>
    <w:rsid w:val="00FD6BCA"/>
    <w:rsid w:val="00FD6ECB"/>
    <w:rsid w:val="00FE441B"/>
    <w:rsid w:val="00FE47AB"/>
    <w:rsid w:val="00FE5176"/>
    <w:rsid w:val="00FF0DA2"/>
    <w:rsid w:val="00FF5FC6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F6E02E"/>
  <w15:chartTrackingRefBased/>
  <w15:docId w15:val="{ACC2EFC8-BFD7-461C-B894-A17744320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0119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25011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50119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5011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250119"/>
    <w:pPr>
      <w:spacing w:after="0" w:line="240" w:lineRule="auto"/>
    </w:pPr>
  </w:style>
  <w:style w:type="table" w:customStyle="1" w:styleId="TableGrid1">
    <w:name w:val="Table Grid1"/>
    <w:basedOn w:val="TableNormal"/>
    <w:next w:val="TableGrid"/>
    <w:uiPriority w:val="59"/>
    <w:rsid w:val="00250119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250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25011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011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011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011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011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011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0119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50119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"/>
    <w:link w:val="EndNoteBibliographyTitleChar"/>
    <w:rsid w:val="00250119"/>
    <w:pPr>
      <w:spacing w:after="0"/>
      <w:jc w:val="center"/>
    </w:pPr>
    <w:rPr>
      <w:rFonts w:ascii="Calibri" w:hAnsi="Calibri" w:cs="Calibri"/>
      <w:noProof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50119"/>
  </w:style>
  <w:style w:type="character" w:customStyle="1" w:styleId="EndNoteBibliographyTitleChar">
    <w:name w:val="EndNote Bibliography Title Char"/>
    <w:basedOn w:val="ListParagraphChar"/>
    <w:link w:val="EndNoteBibliographyTitle"/>
    <w:rsid w:val="00250119"/>
    <w:rPr>
      <w:rFonts w:ascii="Calibri" w:hAnsi="Calibri" w:cs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250119"/>
    <w:pPr>
      <w:spacing w:line="240" w:lineRule="auto"/>
    </w:pPr>
    <w:rPr>
      <w:rFonts w:ascii="Calibri" w:hAnsi="Calibri" w:cs="Calibri"/>
      <w:noProof/>
    </w:rPr>
  </w:style>
  <w:style w:type="character" w:customStyle="1" w:styleId="EndNoteBibliographyChar">
    <w:name w:val="EndNote Bibliography Char"/>
    <w:basedOn w:val="ListParagraphChar"/>
    <w:link w:val="EndNoteBibliography"/>
    <w:rsid w:val="00250119"/>
    <w:rPr>
      <w:rFonts w:ascii="Calibri" w:hAnsi="Calibri" w:cs="Calibri"/>
      <w:noProof/>
      <w:lang w:val="en-US"/>
    </w:rPr>
  </w:style>
  <w:style w:type="paragraph" w:styleId="NormalWeb">
    <w:name w:val="Normal (Web)"/>
    <w:basedOn w:val="Normal"/>
    <w:uiPriority w:val="99"/>
    <w:semiHidden/>
    <w:unhideWhenUsed/>
    <w:rsid w:val="002501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250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0119"/>
  </w:style>
  <w:style w:type="paragraph" w:styleId="Footer">
    <w:name w:val="footer"/>
    <w:basedOn w:val="Normal"/>
    <w:link w:val="FooterChar"/>
    <w:uiPriority w:val="99"/>
    <w:unhideWhenUsed/>
    <w:rsid w:val="002501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0119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50119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250119"/>
    <w:rPr>
      <w:color w:val="605E5C"/>
      <w:shd w:val="clear" w:color="auto" w:fill="E1DFDD"/>
    </w:rPr>
  </w:style>
  <w:style w:type="character" w:styleId="LineNumber">
    <w:name w:val="line number"/>
    <w:basedOn w:val="DefaultParagraphFont"/>
    <w:uiPriority w:val="99"/>
    <w:semiHidden/>
    <w:unhideWhenUsed/>
    <w:rsid w:val="0076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9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338243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665069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740146">
          <w:marLeft w:val="547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5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5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15F241-1092-4FED-BDE4-3115FAD13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Davies</dc:creator>
  <cp:keywords/>
  <dc:description/>
  <cp:lastModifiedBy>Olliver, Tania</cp:lastModifiedBy>
  <cp:revision>2</cp:revision>
  <dcterms:created xsi:type="dcterms:W3CDTF">2023-05-18T19:00:00Z</dcterms:created>
  <dcterms:modified xsi:type="dcterms:W3CDTF">2023-05-18T19:00:00Z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bab825-a111-45e4-86a1-18cee0005896_Enabled">
    <vt:lpwstr>true</vt:lpwstr>
  </property>
  <property fmtid="{D5CDD505-2E9C-101B-9397-08002B2CF9AE}" pid="3" name="MSIP_Label_2bbab825-a111-45e4-86a1-18cee0005896_SetDate">
    <vt:lpwstr>2023-05-18T19:00:00Z</vt:lpwstr>
  </property>
  <property fmtid="{D5CDD505-2E9C-101B-9397-08002B2CF9AE}" pid="4" name="MSIP_Label_2bbab825-a111-45e4-86a1-18cee0005896_Method">
    <vt:lpwstr>Standard</vt:lpwstr>
  </property>
  <property fmtid="{D5CDD505-2E9C-101B-9397-08002B2CF9AE}" pid="5" name="MSIP_Label_2bbab825-a111-45e4-86a1-18cee0005896_Name">
    <vt:lpwstr>2bbab825-a111-45e4-86a1-18cee0005896</vt:lpwstr>
  </property>
  <property fmtid="{D5CDD505-2E9C-101B-9397-08002B2CF9AE}" pid="6" name="MSIP_Label_2bbab825-a111-45e4-86a1-18cee0005896_SiteId">
    <vt:lpwstr>2567d566-604c-408a-8a60-55d0dc9d9d6b</vt:lpwstr>
  </property>
  <property fmtid="{D5CDD505-2E9C-101B-9397-08002B2CF9AE}" pid="7" name="MSIP_Label_2bbab825-a111-45e4-86a1-18cee0005896_ActionId">
    <vt:lpwstr>0de23801-2d44-4cc1-a14e-1f09451876fa</vt:lpwstr>
  </property>
  <property fmtid="{D5CDD505-2E9C-101B-9397-08002B2CF9AE}" pid="8" name="MSIP_Label_2bbab825-a111-45e4-86a1-18cee0005896_ContentBits">
    <vt:lpwstr>2</vt:lpwstr>
  </property>
</Properties>
</file>