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971B3" w14:textId="41401177" w:rsidR="009567A8" w:rsidRDefault="00000000">
      <w:pPr>
        <w:spacing w:after="200" w:line="360" w:lineRule="auto"/>
      </w:pPr>
      <w:r>
        <w:t xml:space="preserve">Hello. </w:t>
      </w:r>
      <w:r w:rsidR="007430A3">
        <w:t>I’m</w:t>
      </w:r>
      <w:r>
        <w:t xml:space="preserve"> Atalay</w:t>
      </w:r>
      <w:r w:rsidR="007430A3">
        <w:t xml:space="preserve">, a PhD student from </w:t>
      </w:r>
      <w:r>
        <w:t>Addis Ababa University</w:t>
      </w:r>
      <w:r w:rsidR="007430A3">
        <w:t xml:space="preserve">, </w:t>
      </w:r>
      <w:r>
        <w:t xml:space="preserve">presenting our study on multidisciplinary palliative care for advanced cancer patients in Ethiopia. Worldwide, most people who need palliative care live in low- and middle-income countries — yet very few receive it. </w:t>
      </w:r>
      <w:r w:rsidR="00FF6843">
        <w:t>We</w:t>
      </w:r>
      <w:r>
        <w:t xml:space="preserve"> asked a simple question: if we build a structured, multidisciplinary team palliative care service in a busy Ethiopian cancer hospital, does it actually improve how patients feel?</w:t>
      </w:r>
    </w:p>
    <w:p w14:paraId="228BBDB1" w14:textId="7F9928C0" w:rsidR="009567A8" w:rsidRDefault="00000000">
      <w:pPr>
        <w:spacing w:after="200" w:line="360" w:lineRule="auto"/>
      </w:pPr>
      <w:r>
        <w:t xml:space="preserve">Globally, about 78 percent of people who need palliative care live in low- and middle-income countries, but fewer than 3 percent of them actually receive it. And </w:t>
      </w:r>
      <w:r w:rsidR="00AC3933">
        <w:t>in</w:t>
      </w:r>
      <w:r>
        <w:t xml:space="preserve"> sub-Saharan Africa, almost no studies measure what multidisciplinary team palliative care does for patients using validated tools. We ran our study at Tikur Anbessa Specialized Hospital — Ethiopia's national cancer referral center — where most patients arrive with advanced disease. The World Health Organization recommends a multidisciplinary team model, so we built one and measured </w:t>
      </w:r>
      <w:r w:rsidR="005943BE">
        <w:t>the</w:t>
      </w:r>
      <w:r>
        <w:t xml:space="preserve"> impact.</w:t>
      </w:r>
    </w:p>
    <w:p w14:paraId="65F8E4B9" w14:textId="2EE90BF6" w:rsidR="009567A8" w:rsidRDefault="00000000">
      <w:pPr>
        <w:spacing w:after="200" w:line="360" w:lineRule="auto"/>
      </w:pPr>
      <w:r>
        <w:t xml:space="preserve">This was a non-randomized, pre–post study. Each patient served as their own control — assessed before the intervention, and again about four weeks later. We enrolled 192 adults with advanced cancer, with 167 in the matched cohort. We measured symptom burden and quality of life using three validated tools: the African Palliative Outcome Scale; the EQ-5D-5L, with an Ethiopian value set; and the EORTC QLQ-C15-PAL. The intervention had four core components: </w:t>
      </w:r>
      <w:r w:rsidR="00AF70F7">
        <w:t>governance</w:t>
      </w:r>
      <w:r w:rsidR="00AF70F7">
        <w:t xml:space="preserve"> and </w:t>
      </w:r>
      <w:r>
        <w:t xml:space="preserve">stakeholder engagement; </w:t>
      </w:r>
      <w:r w:rsidR="00EC2FD1">
        <w:t xml:space="preserve">training the </w:t>
      </w:r>
      <w:r>
        <w:t>workforce; a symptom-based treatment protocol; and patient and family support linked to home-based care.</w:t>
      </w:r>
    </w:p>
    <w:p w14:paraId="186B7A9B" w14:textId="6D0C3E81" w:rsidR="009567A8" w:rsidRDefault="00000000">
      <w:pPr>
        <w:spacing w:after="200" w:line="360" w:lineRule="auto"/>
      </w:pPr>
      <w:r>
        <w:t xml:space="preserve">The results were consistent, and clinically meaningful. Global quality of life, on the EORTC scale, rose by 14.6 points — a large effect, well above the 10-point threshold for clinical importance. The proportion of patients </w:t>
      </w:r>
      <w:r w:rsidR="00F10F43">
        <w:t>with</w:t>
      </w:r>
      <w:r>
        <w:t xml:space="preserve"> severe pain fell from nearly 50 percent to under 10 percent</w:t>
      </w:r>
      <w:r w:rsidR="00F10F43">
        <w:t xml:space="preserve"> and a</w:t>
      </w:r>
      <w:r>
        <w:t xml:space="preserve">dequate pain management rose from 38 percent to over 96 percent. And more than 80 percent of patients were satisfied with the multidisciplinary team care. Improvements held across symptom burden and quality of life — and were largest in the patients who started with the greatest burden, </w:t>
      </w:r>
      <w:r w:rsidR="008F4268">
        <w:t>those</w:t>
      </w:r>
      <w:r>
        <w:t xml:space="preserve"> who needed help the most.</w:t>
      </w:r>
    </w:p>
    <w:p w14:paraId="6E4B4746" w14:textId="77777777" w:rsidR="009567A8" w:rsidRDefault="00000000">
      <w:pPr>
        <w:spacing w:after="200" w:line="360" w:lineRule="auto"/>
      </w:pPr>
      <w:r>
        <w:lastRenderedPageBreak/>
        <w:t>What does this mean? First, the benefit went well beyond pain — only about a third of the quality-of-life gain was linked to pain relief; the rest came from psychological, family, spiritual, and broader symptom support. Second, the sickest patients gained the most — so simple triage can target early team review where resources are limited. And third, these findings support building palliative care into Ethiopia's national cancer and health-coverage strategies.</w:t>
      </w:r>
    </w:p>
    <w:p w14:paraId="58FA46C2" w14:textId="711B1F59" w:rsidR="009567A8" w:rsidRDefault="00000000">
      <w:pPr>
        <w:spacing w:after="200" w:line="360" w:lineRule="auto"/>
      </w:pPr>
      <w:r>
        <w:t>In short: a structured, multidisciplinary palliative care model improved both symptom burden and quality of life</w:t>
      </w:r>
      <w:r w:rsidR="00FD7C20">
        <w:t xml:space="preserve"> </w:t>
      </w:r>
      <w:r>
        <w:t>and helped most the patients who needed it most. The next steps are controlled and stepped-wedge studies, longer follow-up, multiple sites, and cost-effectiveness analysis to confirm durability and guide national scale-up. Thank you for watching.</w:t>
      </w:r>
    </w:p>
    <w:sectPr w:rsidR="009567A8">
      <w:footerReference w:type="even" r:id="rId7"/>
      <w:footerReference w:type="default" r:id="rId8"/>
      <w:footerReference w:type="first" r:id="rId9"/>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4F840" w14:textId="77777777" w:rsidR="00414380" w:rsidRDefault="00414380" w:rsidP="009D6BBB">
      <w:r>
        <w:separator/>
      </w:r>
    </w:p>
  </w:endnote>
  <w:endnote w:type="continuationSeparator" w:id="0">
    <w:p w14:paraId="67FCD646" w14:textId="77777777" w:rsidR="00414380" w:rsidRDefault="00414380" w:rsidP="009D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9F9F3" w14:textId="21272D35" w:rsidR="009D6BBB" w:rsidRDefault="009D6BBB">
    <w:pPr>
      <w:pStyle w:val="Footer"/>
    </w:pPr>
    <w:r>
      <w:rPr>
        <w:noProof/>
      </w:rPr>
      <mc:AlternateContent>
        <mc:Choice Requires="wps">
          <w:drawing>
            <wp:anchor distT="0" distB="0" distL="0" distR="0" simplePos="0" relativeHeight="251659264" behindDoc="0" locked="0" layoutInCell="1" allowOverlap="1" wp14:anchorId="76FDFD5A" wp14:editId="33734949">
              <wp:simplePos x="635" y="635"/>
              <wp:positionH relativeFrom="page">
                <wp:align>left</wp:align>
              </wp:positionH>
              <wp:positionV relativeFrom="page">
                <wp:align>bottom</wp:align>
              </wp:positionV>
              <wp:extent cx="2085975" cy="324485"/>
              <wp:effectExtent l="0" t="0" r="9525" b="0"/>
              <wp:wrapNone/>
              <wp:docPr id="1522050288" name="Text Box 2"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24485"/>
                      </a:xfrm>
                      <a:prstGeom prst="rect">
                        <a:avLst/>
                      </a:prstGeom>
                      <a:noFill/>
                      <a:ln>
                        <a:noFill/>
                      </a:ln>
                    </wps:spPr>
                    <wps:txbx>
                      <w:txbxContent>
                        <w:p w14:paraId="6C03971B" w14:textId="60C8E669" w:rsidR="009D6BBB" w:rsidRPr="009D6BBB" w:rsidRDefault="009D6BBB" w:rsidP="009D6BBB">
                          <w:pPr>
                            <w:rPr>
                              <w:rFonts w:ascii="Rockwell" w:eastAsia="Rockwell" w:hAnsi="Rockwell" w:cs="Rockwell"/>
                              <w:noProof/>
                              <w:color w:val="0078D7"/>
                              <w:sz w:val="18"/>
                              <w:szCs w:val="18"/>
                            </w:rPr>
                          </w:pPr>
                          <w:r w:rsidRPr="009D6BBB">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FDFD5A" id="_x0000_t202" coordsize="21600,21600" o:spt="202" path="m,l,21600r21600,l21600,xe">
              <v:stroke joinstyle="miter"/>
              <v:path gradientshapeok="t" o:connecttype="rect"/>
            </v:shapetype>
            <v:shape id="Text Box 2" o:spid="_x0000_s1026" type="#_x0000_t202" alt="Information Classification: General" style="position:absolute;margin-left:0;margin-top:0;width:164.25pt;height:25.5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" filled="f" stroked="f">
              <v:fill o:detectmouseclick="t"/>
              <v:textbox style="mso-fit-shape-to-text:t" inset="20pt,0,0,15pt">
                <w:txbxContent>
                  <w:p w14:paraId="6C03971B" w14:textId="60C8E669" w:rsidR="009D6BBB" w:rsidRPr="009D6BBB" w:rsidRDefault="009D6BBB" w:rsidP="009D6BBB">
                    <w:pPr>
                      <w:rPr>
                        <w:rFonts w:ascii="Rockwell" w:eastAsia="Rockwell" w:hAnsi="Rockwell" w:cs="Rockwell"/>
                        <w:noProof/>
                        <w:color w:val="0078D7"/>
                        <w:sz w:val="18"/>
                        <w:szCs w:val="18"/>
                      </w:rPr>
                    </w:pPr>
                    <w:r w:rsidRPr="009D6BBB">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E4FB7" w14:textId="72C87DBD" w:rsidR="009D6BBB" w:rsidRDefault="009D6BBB">
    <w:pPr>
      <w:pStyle w:val="Footer"/>
    </w:pPr>
    <w:r>
      <w:rPr>
        <w:noProof/>
      </w:rPr>
      <mc:AlternateContent>
        <mc:Choice Requires="wps">
          <w:drawing>
            <wp:anchor distT="0" distB="0" distL="0" distR="0" simplePos="0" relativeHeight="251660288" behindDoc="0" locked="0" layoutInCell="1" allowOverlap="1" wp14:anchorId="108CBB57" wp14:editId="4A622002">
              <wp:simplePos x="914400" y="9429750"/>
              <wp:positionH relativeFrom="page">
                <wp:align>left</wp:align>
              </wp:positionH>
              <wp:positionV relativeFrom="page">
                <wp:align>bottom</wp:align>
              </wp:positionV>
              <wp:extent cx="2085975" cy="324485"/>
              <wp:effectExtent l="0" t="0" r="9525" b="0"/>
              <wp:wrapNone/>
              <wp:docPr id="619013787" name="Text Box 3"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24485"/>
                      </a:xfrm>
                      <a:prstGeom prst="rect">
                        <a:avLst/>
                      </a:prstGeom>
                      <a:noFill/>
                      <a:ln>
                        <a:noFill/>
                      </a:ln>
                    </wps:spPr>
                    <wps:txbx>
                      <w:txbxContent>
                        <w:p w14:paraId="37C25D80" w14:textId="3689CC8B" w:rsidR="009D6BBB" w:rsidRPr="009D6BBB" w:rsidRDefault="009D6BBB" w:rsidP="009D6BBB">
                          <w:pPr>
                            <w:rPr>
                              <w:rFonts w:ascii="Rockwell" w:eastAsia="Rockwell" w:hAnsi="Rockwell" w:cs="Rockwell"/>
                              <w:noProof/>
                              <w:color w:val="0078D7"/>
                              <w:sz w:val="18"/>
                              <w:szCs w:val="18"/>
                            </w:rPr>
                          </w:pPr>
                          <w:r w:rsidRPr="009D6BBB">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8CBB57" id="_x0000_t202" coordsize="21600,21600" o:spt="202" path="m,l,21600r21600,l21600,xe">
              <v:stroke joinstyle="miter"/>
              <v:path gradientshapeok="t" o:connecttype="rect"/>
            </v:shapetype>
            <v:shape id="Text Box 3" o:spid="_x0000_s1027" type="#_x0000_t202" alt="Information Classification: General" style="position:absolute;margin-left:0;margin-top:0;width:164.25pt;height:25.5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" filled="f" stroked="f">
              <v:fill o:detectmouseclick="t"/>
              <v:textbox style="mso-fit-shape-to-text:t" inset="20pt,0,0,15pt">
                <w:txbxContent>
                  <w:p w14:paraId="37C25D80" w14:textId="3689CC8B" w:rsidR="009D6BBB" w:rsidRPr="009D6BBB" w:rsidRDefault="009D6BBB" w:rsidP="009D6BBB">
                    <w:pPr>
                      <w:rPr>
                        <w:rFonts w:ascii="Rockwell" w:eastAsia="Rockwell" w:hAnsi="Rockwell" w:cs="Rockwell"/>
                        <w:noProof/>
                        <w:color w:val="0078D7"/>
                        <w:sz w:val="18"/>
                        <w:szCs w:val="18"/>
                      </w:rPr>
                    </w:pPr>
                    <w:r w:rsidRPr="009D6BBB">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B1BA0" w14:textId="66EAAF8C" w:rsidR="009D6BBB" w:rsidRDefault="009D6BBB">
    <w:pPr>
      <w:pStyle w:val="Footer"/>
    </w:pPr>
    <w:r>
      <w:rPr>
        <w:noProof/>
      </w:rPr>
      <mc:AlternateContent>
        <mc:Choice Requires="wps">
          <w:drawing>
            <wp:anchor distT="0" distB="0" distL="0" distR="0" simplePos="0" relativeHeight="251658240" behindDoc="0" locked="0" layoutInCell="1" allowOverlap="1" wp14:anchorId="545D88F7" wp14:editId="24B81AFC">
              <wp:simplePos x="635" y="635"/>
              <wp:positionH relativeFrom="page">
                <wp:align>left</wp:align>
              </wp:positionH>
              <wp:positionV relativeFrom="page">
                <wp:align>bottom</wp:align>
              </wp:positionV>
              <wp:extent cx="2085975" cy="324485"/>
              <wp:effectExtent l="0" t="0" r="9525" b="0"/>
              <wp:wrapNone/>
              <wp:docPr id="754389023" name="Text Box 1" descr="Information Classification: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85975" cy="324485"/>
                      </a:xfrm>
                      <a:prstGeom prst="rect">
                        <a:avLst/>
                      </a:prstGeom>
                      <a:noFill/>
                      <a:ln>
                        <a:noFill/>
                      </a:ln>
                    </wps:spPr>
                    <wps:txbx>
                      <w:txbxContent>
                        <w:p w14:paraId="09E83421" w14:textId="2C2484AC" w:rsidR="009D6BBB" w:rsidRPr="009D6BBB" w:rsidRDefault="009D6BBB" w:rsidP="009D6BBB">
                          <w:pPr>
                            <w:rPr>
                              <w:rFonts w:ascii="Rockwell" w:eastAsia="Rockwell" w:hAnsi="Rockwell" w:cs="Rockwell"/>
                              <w:noProof/>
                              <w:color w:val="0078D7"/>
                              <w:sz w:val="18"/>
                              <w:szCs w:val="18"/>
                            </w:rPr>
                          </w:pPr>
                          <w:r w:rsidRPr="009D6BBB">
                            <w:rPr>
                              <w:rFonts w:ascii="Rockwell" w:eastAsia="Rockwell" w:hAnsi="Rockwell" w:cs="Rockwell"/>
                              <w:noProof/>
                              <w:color w:val="0078D7"/>
                              <w:sz w:val="18"/>
                              <w:szCs w:val="18"/>
                            </w:rPr>
                            <w:t>Information Classification: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5D88F7" id="_x0000_t202" coordsize="21600,21600" o:spt="202" path="m,l,21600r21600,l21600,xe">
              <v:stroke joinstyle="miter"/>
              <v:path gradientshapeok="t" o:connecttype="rect"/>
            </v:shapetype>
            <v:shape id="Text Box 1" o:spid="_x0000_s1028" type="#_x0000_t202" alt="Information Classification: General" style="position:absolute;margin-left:0;margin-top:0;width:164.2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" filled="f" stroked="f">
              <v:fill o:detectmouseclick="t"/>
              <v:textbox style="mso-fit-shape-to-text:t" inset="20pt,0,0,15pt">
                <w:txbxContent>
                  <w:p w14:paraId="09E83421" w14:textId="2C2484AC" w:rsidR="009D6BBB" w:rsidRPr="009D6BBB" w:rsidRDefault="009D6BBB" w:rsidP="009D6BBB">
                    <w:pPr>
                      <w:rPr>
                        <w:rFonts w:ascii="Rockwell" w:eastAsia="Rockwell" w:hAnsi="Rockwell" w:cs="Rockwell"/>
                        <w:noProof/>
                        <w:color w:val="0078D7"/>
                        <w:sz w:val="18"/>
                        <w:szCs w:val="18"/>
                      </w:rPr>
                    </w:pPr>
                    <w:r w:rsidRPr="009D6BBB">
                      <w:rPr>
                        <w:rFonts w:ascii="Rockwell" w:eastAsia="Rockwell" w:hAnsi="Rockwell" w:cs="Rockwell"/>
                        <w:noProof/>
                        <w:color w:val="0078D7"/>
                        <w:sz w:val="18"/>
                        <w:szCs w:val="18"/>
                      </w:rPr>
                      <w:t>Information Classification: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43451" w14:textId="77777777" w:rsidR="00414380" w:rsidRDefault="00414380" w:rsidP="009D6BBB">
      <w:r>
        <w:separator/>
      </w:r>
    </w:p>
  </w:footnote>
  <w:footnote w:type="continuationSeparator" w:id="0">
    <w:p w14:paraId="0AA906F0" w14:textId="77777777" w:rsidR="00414380" w:rsidRDefault="00414380" w:rsidP="009D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D3B8E"/>
    <w:multiLevelType w:val="hybridMultilevel"/>
    <w:tmpl w:val="FEEA20AE"/>
    <w:lvl w:ilvl="0" w:tplc="3580BE6E">
      <w:start w:val="1"/>
      <w:numFmt w:val="bullet"/>
      <w:lvlText w:val="●"/>
      <w:lvlJc w:val="left"/>
      <w:pPr>
        <w:ind w:left="720" w:hanging="360"/>
      </w:pPr>
    </w:lvl>
    <w:lvl w:ilvl="1" w:tplc="234EDF94">
      <w:start w:val="1"/>
      <w:numFmt w:val="bullet"/>
      <w:lvlText w:val="○"/>
      <w:lvlJc w:val="left"/>
      <w:pPr>
        <w:ind w:left="1440" w:hanging="360"/>
      </w:pPr>
    </w:lvl>
    <w:lvl w:ilvl="2" w:tplc="D1486584">
      <w:start w:val="1"/>
      <w:numFmt w:val="bullet"/>
      <w:lvlText w:val="■"/>
      <w:lvlJc w:val="left"/>
      <w:pPr>
        <w:ind w:left="2160" w:hanging="360"/>
      </w:pPr>
    </w:lvl>
    <w:lvl w:ilvl="3" w:tplc="F23A2602">
      <w:start w:val="1"/>
      <w:numFmt w:val="bullet"/>
      <w:lvlText w:val="●"/>
      <w:lvlJc w:val="left"/>
      <w:pPr>
        <w:ind w:left="2880" w:hanging="360"/>
      </w:pPr>
    </w:lvl>
    <w:lvl w:ilvl="4" w:tplc="7502611E">
      <w:start w:val="1"/>
      <w:numFmt w:val="bullet"/>
      <w:lvlText w:val="○"/>
      <w:lvlJc w:val="left"/>
      <w:pPr>
        <w:ind w:left="3600" w:hanging="360"/>
      </w:pPr>
    </w:lvl>
    <w:lvl w:ilvl="5" w:tplc="39561CD2">
      <w:start w:val="1"/>
      <w:numFmt w:val="bullet"/>
      <w:lvlText w:val="■"/>
      <w:lvlJc w:val="left"/>
      <w:pPr>
        <w:ind w:left="4320" w:hanging="360"/>
      </w:pPr>
    </w:lvl>
    <w:lvl w:ilvl="6" w:tplc="29BA4D88">
      <w:start w:val="1"/>
      <w:numFmt w:val="bullet"/>
      <w:lvlText w:val="●"/>
      <w:lvlJc w:val="left"/>
      <w:pPr>
        <w:ind w:left="5040" w:hanging="360"/>
      </w:pPr>
    </w:lvl>
    <w:lvl w:ilvl="7" w:tplc="F1A8480E">
      <w:start w:val="1"/>
      <w:numFmt w:val="bullet"/>
      <w:lvlText w:val="●"/>
      <w:lvlJc w:val="left"/>
      <w:pPr>
        <w:ind w:left="5760" w:hanging="360"/>
      </w:pPr>
    </w:lvl>
    <w:lvl w:ilvl="8" w:tplc="A7C26A04">
      <w:start w:val="1"/>
      <w:numFmt w:val="bullet"/>
      <w:lvlText w:val="●"/>
      <w:lvlJc w:val="left"/>
      <w:pPr>
        <w:ind w:left="6480" w:hanging="360"/>
      </w:pPr>
    </w:lvl>
  </w:abstractNum>
  <w:num w:numId="1" w16cid:durableId="2601441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7A8"/>
    <w:rsid w:val="000A778B"/>
    <w:rsid w:val="001530F2"/>
    <w:rsid w:val="00414380"/>
    <w:rsid w:val="005943BE"/>
    <w:rsid w:val="007430A3"/>
    <w:rsid w:val="008F4268"/>
    <w:rsid w:val="009567A8"/>
    <w:rsid w:val="009D6BBB"/>
    <w:rsid w:val="00AC3933"/>
    <w:rsid w:val="00AF70F7"/>
    <w:rsid w:val="00C77D82"/>
    <w:rsid w:val="00EC2FD1"/>
    <w:rsid w:val="00F10F43"/>
    <w:rsid w:val="00FD7C20"/>
    <w:rsid w:val="00FF68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751A"/>
  <w15:docId w15:val="{816128E6-3062-4BA1-A460-67CF57BD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Spacing">
    <w:name w:val="No Spacing"/>
    <w:uiPriority w:val="1"/>
    <w:qFormat/>
    <w:rsid w:val="000A778B"/>
  </w:style>
  <w:style w:type="paragraph" w:styleId="Footer">
    <w:name w:val="footer"/>
    <w:basedOn w:val="Normal"/>
    <w:link w:val="FooterChar"/>
    <w:uiPriority w:val="99"/>
    <w:unhideWhenUsed/>
    <w:rsid w:val="009D6BBB"/>
    <w:pPr>
      <w:tabs>
        <w:tab w:val="center" w:pos="4513"/>
        <w:tab w:val="right" w:pos="9026"/>
      </w:tabs>
    </w:pPr>
  </w:style>
  <w:style w:type="character" w:customStyle="1" w:styleId="FooterChar">
    <w:name w:val="Footer Char"/>
    <w:basedOn w:val="DefaultParagraphFont"/>
    <w:link w:val="Footer"/>
    <w:uiPriority w:val="99"/>
    <w:rsid w:val="009D6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459</Words>
  <Characters>2617</Characters>
  <Application>Microsoft Office Word</Application>
  <DocSecurity>0</DocSecurity>
  <Lines>21</Lines>
  <Paragraphs>6</Paragraphs>
  <ScaleCrop>false</ScaleCrop>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Bell, Adrian</cp:lastModifiedBy>
  <cp:revision>12</cp:revision>
  <dcterms:created xsi:type="dcterms:W3CDTF">2026-06-16T13:55:00Z</dcterms:created>
  <dcterms:modified xsi:type="dcterms:W3CDTF">2026-06-17T01:40:00Z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2cf7101f,5ab8a4f0,24e5669b</vt:lpwstr>
  </property>
  <property fmtid="{D5CDD505-2E9C-101B-9397-08002B2CF9AE}" pid="3" name="ClassificationContentMarkingFooterFontProps">
    <vt:lpwstr>#0078d7,9,Rockwell</vt:lpwstr>
  </property>
  <property fmtid="{D5CDD505-2E9C-101B-9397-08002B2CF9AE}" pid="4" name="ClassificationContentMarkingFooterText">
    <vt:lpwstr>Information Classification: General</vt:lpwstr>
  </property>
  <property fmtid="{D5CDD505-2E9C-101B-9397-08002B2CF9AE}" pid="5" name="MSIP_Label_2bbab825-a111-45e4-86a1-18cee0005896_Enabled">
    <vt:lpwstr>true</vt:lpwstr>
  </property>
  <property fmtid="{D5CDD505-2E9C-101B-9397-08002B2CF9AE}" pid="6" name="MSIP_Label_2bbab825-a111-45e4-86a1-18cee0005896_SetDate">
    <vt:lpwstr>2026-06-17T01:35:29Z</vt:lpwstr>
  </property>
  <property fmtid="{D5CDD505-2E9C-101B-9397-08002B2CF9AE}" pid="7" name="MSIP_Label_2bbab825-a111-45e4-86a1-18cee0005896_Method">
    <vt:lpwstr>Standard</vt:lpwstr>
  </property>
  <property fmtid="{D5CDD505-2E9C-101B-9397-08002B2CF9AE}" pid="8" name="MSIP_Label_2bbab825-a111-45e4-86a1-18cee0005896_Name">
    <vt:lpwstr>2bbab825-a111-45e4-86a1-18cee0005896</vt:lpwstr>
  </property>
  <property fmtid="{D5CDD505-2E9C-101B-9397-08002B2CF9AE}" pid="9" name="MSIP_Label_2bbab825-a111-45e4-86a1-18cee0005896_SiteId">
    <vt:lpwstr>2567d566-604c-408a-8a60-55d0dc9d9d6b</vt:lpwstr>
  </property>
  <property fmtid="{D5CDD505-2E9C-101B-9397-08002B2CF9AE}" pid="10" name="MSIP_Label_2bbab825-a111-45e4-86a1-18cee0005896_ActionId">
    <vt:lpwstr>a24b7737-cce0-4565-b0c3-fded3aa479ba</vt:lpwstr>
  </property>
  <property fmtid="{D5CDD505-2E9C-101B-9397-08002B2CF9AE}" pid="11" name="MSIP_Label_2bbab825-a111-45e4-86a1-18cee0005896_ContentBits">
    <vt:lpwstr>2</vt:lpwstr>
  </property>
  <property fmtid="{D5CDD505-2E9C-101B-9397-08002B2CF9AE}" pid="12" name="MSIP_Label_2bbab825-a111-45e4-86a1-18cee0005896_Tag">
    <vt:lpwstr>10, 3, 0, 1</vt:lpwstr>
  </property>
</Properties>
</file>