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F9B04A" w14:textId="77777777" w:rsidR="00847F05" w:rsidRPr="00836A8C" w:rsidRDefault="00000000">
      <w:pPr>
        <w:jc w:val="center"/>
        <w:rPr>
          <w:rFonts w:ascii="Times New Roman" w:hAnsi="Times New Roman" w:cs="Times New Roman"/>
          <w:sz w:val="24"/>
          <w:szCs w:val="24"/>
        </w:rPr>
      </w:pPr>
      <w:r w:rsidRPr="00836A8C">
        <w:rPr>
          <w:rFonts w:ascii="Times New Roman" w:hAnsi="Times New Roman" w:cs="Times New Roman"/>
          <w:i/>
          <w:sz w:val="24"/>
          <w:szCs w:val="24"/>
        </w:rPr>
        <w:t>HCC – Prognostic Nutritional Index and Progression-Free Survival</w:t>
      </w:r>
    </w:p>
    <w:p w14:paraId="5EECD7A7" w14:textId="77777777" w:rsidR="00847F05" w:rsidRPr="00836A8C" w:rsidRDefault="00000000">
      <w:pPr>
        <w:spacing w:before="240" w:after="80"/>
        <w:rPr>
          <w:rFonts w:ascii="Times New Roman" w:hAnsi="Times New Roman" w:cs="Times New Roman"/>
          <w:sz w:val="24"/>
          <w:szCs w:val="24"/>
        </w:rPr>
      </w:pPr>
      <w:r w:rsidRPr="00836A8C">
        <w:rPr>
          <w:rFonts w:ascii="Times New Roman" w:hAnsi="Times New Roman" w:cs="Times New Roman"/>
          <w:b/>
          <w:sz w:val="24"/>
          <w:szCs w:val="24"/>
        </w:rPr>
        <w:t>Slide 1 – Title</w:t>
      </w:r>
    </w:p>
    <w:p w14:paraId="3F1A1A87" w14:textId="77777777" w:rsidR="00847F05" w:rsidRPr="00836A8C" w:rsidRDefault="00000000">
      <w:pPr>
        <w:spacing w:after="120"/>
        <w:rPr>
          <w:rFonts w:ascii="Times New Roman" w:hAnsi="Times New Roman" w:cs="Times New Roman"/>
          <w:sz w:val="24"/>
          <w:szCs w:val="24"/>
        </w:rPr>
      </w:pPr>
      <w:r w:rsidRPr="00836A8C">
        <w:rPr>
          <w:rFonts w:ascii="Times New Roman" w:hAnsi="Times New Roman" w:cs="Times New Roman"/>
          <w:sz w:val="24"/>
          <w:szCs w:val="24"/>
        </w:rPr>
        <w:t>Hello, my name is Umut Aydın from the Department of Medical Oncology at İnönü University.</w:t>
      </w:r>
    </w:p>
    <w:p w14:paraId="6778865B" w14:textId="77777777" w:rsidR="00847F05" w:rsidRPr="00836A8C" w:rsidRDefault="00000000">
      <w:pPr>
        <w:spacing w:after="120"/>
        <w:rPr>
          <w:rFonts w:ascii="Times New Roman" w:hAnsi="Times New Roman" w:cs="Times New Roman"/>
          <w:sz w:val="24"/>
          <w:szCs w:val="24"/>
        </w:rPr>
      </w:pPr>
      <w:r w:rsidRPr="00836A8C">
        <w:rPr>
          <w:rFonts w:ascii="Times New Roman" w:hAnsi="Times New Roman" w:cs="Times New Roman"/>
          <w:sz w:val="24"/>
          <w:szCs w:val="24"/>
        </w:rPr>
        <w:t>In this video, I will briefly present our study entitled “Pretreatment Prognostic Nutritional Index Predicts Progression-Free Survival in BCLC Stage C Hepatocellular Carcinoma Treated With Sorafenib.”</w:t>
      </w:r>
    </w:p>
    <w:p w14:paraId="15C73EAE" w14:textId="77777777" w:rsidR="00847F05" w:rsidRPr="00836A8C" w:rsidRDefault="00000000">
      <w:pPr>
        <w:spacing w:before="240" w:after="80"/>
        <w:rPr>
          <w:rFonts w:ascii="Times New Roman" w:hAnsi="Times New Roman" w:cs="Times New Roman"/>
          <w:sz w:val="24"/>
          <w:szCs w:val="24"/>
        </w:rPr>
      </w:pPr>
      <w:r w:rsidRPr="00836A8C">
        <w:rPr>
          <w:rFonts w:ascii="Times New Roman" w:hAnsi="Times New Roman" w:cs="Times New Roman"/>
          <w:b/>
          <w:sz w:val="24"/>
          <w:szCs w:val="24"/>
        </w:rPr>
        <w:t>Slide 2 – Background</w:t>
      </w:r>
    </w:p>
    <w:p w14:paraId="17BC6916" w14:textId="77777777" w:rsidR="00847F05" w:rsidRPr="00836A8C" w:rsidRDefault="00000000">
      <w:pPr>
        <w:spacing w:after="120"/>
        <w:rPr>
          <w:rFonts w:ascii="Times New Roman" w:hAnsi="Times New Roman" w:cs="Times New Roman"/>
          <w:sz w:val="24"/>
          <w:szCs w:val="24"/>
        </w:rPr>
      </w:pPr>
      <w:r w:rsidRPr="00836A8C">
        <w:rPr>
          <w:rFonts w:ascii="Times New Roman" w:hAnsi="Times New Roman" w:cs="Times New Roman"/>
          <w:sz w:val="24"/>
          <w:szCs w:val="24"/>
        </w:rPr>
        <w:t>Hepatocellular carcinoma is one of the leading causes of cancer-related mortality worldwide. Many patients are diagnosed at an advanced stage, where systemic therapy becomes the main treatment option.</w:t>
      </w:r>
    </w:p>
    <w:p w14:paraId="32183C99" w14:textId="77777777" w:rsidR="00847F05" w:rsidRPr="00836A8C" w:rsidRDefault="00000000">
      <w:pPr>
        <w:spacing w:after="120"/>
        <w:rPr>
          <w:rFonts w:ascii="Times New Roman" w:hAnsi="Times New Roman" w:cs="Times New Roman"/>
          <w:sz w:val="24"/>
          <w:szCs w:val="24"/>
        </w:rPr>
      </w:pPr>
      <w:r w:rsidRPr="00836A8C">
        <w:rPr>
          <w:rFonts w:ascii="Times New Roman" w:hAnsi="Times New Roman" w:cs="Times New Roman"/>
          <w:sz w:val="24"/>
          <w:szCs w:val="24"/>
        </w:rPr>
        <w:t>Although immunotherapy-based combinations and lenvatinib are now preferred in many settings, sorafenib remains clinically relevant, particularly in real-world environments where access to newer treatments may be limited.</w:t>
      </w:r>
    </w:p>
    <w:p w14:paraId="66D9779F" w14:textId="77777777" w:rsidR="00847F05" w:rsidRPr="00836A8C" w:rsidRDefault="00000000">
      <w:pPr>
        <w:spacing w:after="120"/>
        <w:rPr>
          <w:rFonts w:ascii="Times New Roman" w:hAnsi="Times New Roman" w:cs="Times New Roman"/>
          <w:sz w:val="24"/>
          <w:szCs w:val="24"/>
        </w:rPr>
      </w:pPr>
      <w:r w:rsidRPr="00836A8C">
        <w:rPr>
          <w:rFonts w:ascii="Times New Roman" w:hAnsi="Times New Roman" w:cs="Times New Roman"/>
          <w:sz w:val="24"/>
          <w:szCs w:val="24"/>
        </w:rPr>
        <w:t>Systemic inflammation and nutritional status are important determinants of cancer progression and treatment outcomes. Several blood-based indices can be calculated from routine laboratory tests, but their independent prognostic value in advanced hepatocellular carcinoma remains incompletely defined.</w:t>
      </w:r>
    </w:p>
    <w:p w14:paraId="3FCEF7E3" w14:textId="77777777" w:rsidR="00847F05" w:rsidRPr="00836A8C" w:rsidRDefault="00000000">
      <w:pPr>
        <w:spacing w:before="240" w:after="80"/>
        <w:rPr>
          <w:rFonts w:ascii="Times New Roman" w:hAnsi="Times New Roman" w:cs="Times New Roman"/>
          <w:sz w:val="24"/>
          <w:szCs w:val="24"/>
        </w:rPr>
      </w:pPr>
      <w:r w:rsidRPr="00836A8C">
        <w:rPr>
          <w:rFonts w:ascii="Times New Roman" w:hAnsi="Times New Roman" w:cs="Times New Roman"/>
          <w:b/>
          <w:sz w:val="24"/>
          <w:szCs w:val="24"/>
        </w:rPr>
        <w:t>Slide 3 – Methods</w:t>
      </w:r>
    </w:p>
    <w:p w14:paraId="0208933D" w14:textId="77777777" w:rsidR="00847F05" w:rsidRPr="00836A8C" w:rsidRDefault="00000000">
      <w:pPr>
        <w:spacing w:after="120"/>
        <w:rPr>
          <w:rFonts w:ascii="Times New Roman" w:hAnsi="Times New Roman" w:cs="Times New Roman"/>
          <w:sz w:val="24"/>
          <w:szCs w:val="24"/>
        </w:rPr>
      </w:pPr>
      <w:r w:rsidRPr="00836A8C">
        <w:rPr>
          <w:rFonts w:ascii="Times New Roman" w:hAnsi="Times New Roman" w:cs="Times New Roman"/>
          <w:sz w:val="24"/>
          <w:szCs w:val="24"/>
        </w:rPr>
        <w:t>This was a retrospective cohort study including 109 patients with BCLC stage C hepatocellular carcinoma and Child–Pugh class A liver function.</w:t>
      </w:r>
    </w:p>
    <w:p w14:paraId="1E05417C" w14:textId="77777777" w:rsidR="00847F05" w:rsidRPr="00836A8C" w:rsidRDefault="00000000">
      <w:pPr>
        <w:spacing w:after="120"/>
        <w:rPr>
          <w:rFonts w:ascii="Times New Roman" w:hAnsi="Times New Roman" w:cs="Times New Roman"/>
          <w:sz w:val="24"/>
          <w:szCs w:val="24"/>
        </w:rPr>
      </w:pPr>
      <w:r w:rsidRPr="00836A8C">
        <w:rPr>
          <w:rFonts w:ascii="Times New Roman" w:hAnsi="Times New Roman" w:cs="Times New Roman"/>
          <w:sz w:val="24"/>
          <w:szCs w:val="24"/>
        </w:rPr>
        <w:t>All patients received sorafenib as first-line systemic therapy between 2014 and 2024.</w:t>
      </w:r>
    </w:p>
    <w:p w14:paraId="4AADFFF9" w14:textId="77777777" w:rsidR="00847F05" w:rsidRPr="00836A8C" w:rsidRDefault="00000000">
      <w:pPr>
        <w:spacing w:after="120"/>
        <w:rPr>
          <w:rFonts w:ascii="Times New Roman" w:hAnsi="Times New Roman" w:cs="Times New Roman"/>
          <w:sz w:val="24"/>
          <w:szCs w:val="24"/>
        </w:rPr>
      </w:pPr>
      <w:r w:rsidRPr="00836A8C">
        <w:rPr>
          <w:rFonts w:ascii="Times New Roman" w:hAnsi="Times New Roman" w:cs="Times New Roman"/>
          <w:sz w:val="24"/>
          <w:szCs w:val="24"/>
        </w:rPr>
        <w:t>Progression-free survival was defined as the time from sorafenib initiation to radiological progression or death.</w:t>
      </w:r>
    </w:p>
    <w:p w14:paraId="1041E0B5" w14:textId="77777777" w:rsidR="00847F05" w:rsidRPr="00836A8C" w:rsidRDefault="00000000">
      <w:pPr>
        <w:spacing w:after="120"/>
        <w:rPr>
          <w:rFonts w:ascii="Times New Roman" w:hAnsi="Times New Roman" w:cs="Times New Roman"/>
          <w:sz w:val="24"/>
          <w:szCs w:val="24"/>
        </w:rPr>
      </w:pPr>
      <w:r w:rsidRPr="00836A8C">
        <w:rPr>
          <w:rFonts w:ascii="Times New Roman" w:hAnsi="Times New Roman" w:cs="Times New Roman"/>
          <w:sz w:val="24"/>
          <w:szCs w:val="24"/>
        </w:rPr>
        <w:t>We evaluated several inflammation- and nutrition-based indices, including NLR, PLR, SII, ALBI grade, mGPS, PI, and PNI, using Kaplan–Meier survival analysis and Cox proportional hazards regression models.</w:t>
      </w:r>
    </w:p>
    <w:p w14:paraId="4A562CC9" w14:textId="77777777" w:rsidR="00847F05" w:rsidRPr="00836A8C" w:rsidRDefault="00000000">
      <w:pPr>
        <w:spacing w:before="240" w:after="80"/>
        <w:rPr>
          <w:rFonts w:ascii="Times New Roman" w:hAnsi="Times New Roman" w:cs="Times New Roman"/>
          <w:sz w:val="24"/>
          <w:szCs w:val="24"/>
        </w:rPr>
      </w:pPr>
      <w:r w:rsidRPr="00836A8C">
        <w:rPr>
          <w:rFonts w:ascii="Times New Roman" w:hAnsi="Times New Roman" w:cs="Times New Roman"/>
          <w:b/>
          <w:sz w:val="24"/>
          <w:szCs w:val="24"/>
        </w:rPr>
        <w:t>Slide 4 – Key Results</w:t>
      </w:r>
    </w:p>
    <w:p w14:paraId="6700FB3A" w14:textId="77777777" w:rsidR="00847F05" w:rsidRPr="00836A8C" w:rsidRDefault="00000000">
      <w:pPr>
        <w:spacing w:after="120"/>
        <w:rPr>
          <w:rFonts w:ascii="Times New Roman" w:hAnsi="Times New Roman" w:cs="Times New Roman"/>
          <w:sz w:val="24"/>
          <w:szCs w:val="24"/>
        </w:rPr>
      </w:pPr>
      <w:r w:rsidRPr="00836A8C">
        <w:rPr>
          <w:rFonts w:ascii="Times New Roman" w:hAnsi="Times New Roman" w:cs="Times New Roman"/>
          <w:sz w:val="24"/>
          <w:szCs w:val="24"/>
        </w:rPr>
        <w:t>In Kaplan–Meier and univariate Cox analyses, several indices, including NLR, PLR, SII, mGPS, PI, PNI, and ALBI grade, were associated with progression-free survival.</w:t>
      </w:r>
    </w:p>
    <w:p w14:paraId="2BB2C29A" w14:textId="77777777" w:rsidR="00847F05" w:rsidRPr="00836A8C" w:rsidRDefault="00000000">
      <w:pPr>
        <w:spacing w:after="120"/>
        <w:rPr>
          <w:rFonts w:ascii="Times New Roman" w:hAnsi="Times New Roman" w:cs="Times New Roman"/>
          <w:sz w:val="24"/>
          <w:szCs w:val="24"/>
        </w:rPr>
      </w:pPr>
      <w:r w:rsidRPr="00836A8C">
        <w:rPr>
          <w:rFonts w:ascii="Times New Roman" w:hAnsi="Times New Roman" w:cs="Times New Roman"/>
          <w:sz w:val="24"/>
          <w:szCs w:val="24"/>
        </w:rPr>
        <w:t>However, after adjustment for clinically relevant covariates, low prognostic nutritional index, or PNI, remained independently associated with shorter progression-free survival.</w:t>
      </w:r>
    </w:p>
    <w:p w14:paraId="03E06252" w14:textId="77777777" w:rsidR="00847F05" w:rsidRPr="00836A8C" w:rsidRDefault="00000000">
      <w:pPr>
        <w:spacing w:after="120"/>
        <w:rPr>
          <w:rFonts w:ascii="Times New Roman" w:hAnsi="Times New Roman" w:cs="Times New Roman"/>
          <w:sz w:val="24"/>
          <w:szCs w:val="24"/>
        </w:rPr>
      </w:pPr>
      <w:r w:rsidRPr="00836A8C">
        <w:rPr>
          <w:rFonts w:ascii="Times New Roman" w:hAnsi="Times New Roman" w:cs="Times New Roman"/>
          <w:sz w:val="24"/>
          <w:szCs w:val="24"/>
        </w:rPr>
        <w:t>Prior local ablative treatment was also independently associated with improved progression-free survival.</w:t>
      </w:r>
    </w:p>
    <w:p w14:paraId="52288522" w14:textId="77777777" w:rsidR="00847F05" w:rsidRPr="00836A8C" w:rsidRDefault="00000000">
      <w:pPr>
        <w:spacing w:after="120"/>
        <w:rPr>
          <w:rFonts w:ascii="Times New Roman" w:hAnsi="Times New Roman" w:cs="Times New Roman"/>
          <w:sz w:val="24"/>
          <w:szCs w:val="24"/>
        </w:rPr>
      </w:pPr>
      <w:r w:rsidRPr="00836A8C">
        <w:rPr>
          <w:rFonts w:ascii="Times New Roman" w:hAnsi="Times New Roman" w:cs="Times New Roman"/>
          <w:sz w:val="24"/>
          <w:szCs w:val="24"/>
        </w:rPr>
        <w:t>The final multivariate Cox model for PNI included 78 complete-case patients.</w:t>
      </w:r>
    </w:p>
    <w:p w14:paraId="71EDCCCD" w14:textId="77777777" w:rsidR="00836A8C" w:rsidRDefault="00836A8C">
      <w:pPr>
        <w:spacing w:before="240" w:after="80"/>
        <w:rPr>
          <w:rFonts w:ascii="Times New Roman" w:hAnsi="Times New Roman" w:cs="Times New Roman"/>
          <w:b/>
          <w:sz w:val="24"/>
          <w:szCs w:val="24"/>
        </w:rPr>
      </w:pPr>
    </w:p>
    <w:p w14:paraId="77883CAB" w14:textId="1A77686D" w:rsidR="00847F05" w:rsidRPr="00836A8C" w:rsidRDefault="00000000">
      <w:pPr>
        <w:spacing w:before="240" w:after="80"/>
        <w:rPr>
          <w:rFonts w:ascii="Times New Roman" w:hAnsi="Times New Roman" w:cs="Times New Roman"/>
          <w:sz w:val="24"/>
          <w:szCs w:val="24"/>
        </w:rPr>
      </w:pPr>
      <w:r w:rsidRPr="00836A8C">
        <w:rPr>
          <w:rFonts w:ascii="Times New Roman" w:hAnsi="Times New Roman" w:cs="Times New Roman"/>
          <w:b/>
          <w:sz w:val="24"/>
          <w:szCs w:val="24"/>
        </w:rPr>
        <w:lastRenderedPageBreak/>
        <w:t>Slide 5 – Conclusion</w:t>
      </w:r>
    </w:p>
    <w:p w14:paraId="408C6BB9" w14:textId="77777777" w:rsidR="00847F05" w:rsidRPr="00836A8C" w:rsidRDefault="00000000">
      <w:pPr>
        <w:spacing w:after="120"/>
        <w:rPr>
          <w:rFonts w:ascii="Times New Roman" w:hAnsi="Times New Roman" w:cs="Times New Roman"/>
          <w:sz w:val="24"/>
          <w:szCs w:val="24"/>
        </w:rPr>
      </w:pPr>
      <w:r w:rsidRPr="00836A8C">
        <w:rPr>
          <w:rFonts w:ascii="Times New Roman" w:hAnsi="Times New Roman" w:cs="Times New Roman"/>
          <w:sz w:val="24"/>
          <w:szCs w:val="24"/>
        </w:rPr>
        <w:t>PNI reflects both nutritional and immunological status and may capture host-related factors that are not fully represented by conventional tumor burden or liver function parameters.</w:t>
      </w:r>
    </w:p>
    <w:p w14:paraId="660D7EEF" w14:textId="77777777" w:rsidR="00847F05" w:rsidRPr="00836A8C" w:rsidRDefault="00000000">
      <w:pPr>
        <w:spacing w:after="120"/>
        <w:rPr>
          <w:rFonts w:ascii="Times New Roman" w:hAnsi="Times New Roman" w:cs="Times New Roman"/>
          <w:sz w:val="24"/>
          <w:szCs w:val="24"/>
        </w:rPr>
      </w:pPr>
      <w:r w:rsidRPr="00836A8C">
        <w:rPr>
          <w:rFonts w:ascii="Times New Roman" w:hAnsi="Times New Roman" w:cs="Times New Roman"/>
          <w:sz w:val="24"/>
          <w:szCs w:val="24"/>
        </w:rPr>
        <w:t>Because PNI is simple, inexpensive, and based on routinely available laboratory values, it may help clinicians identify patients with advanced hepatocellular carcinoma who are at higher risk for early progression during sorafenib treatment.</w:t>
      </w:r>
    </w:p>
    <w:p w14:paraId="2ECB71CA" w14:textId="77777777" w:rsidR="00847F05" w:rsidRPr="00836A8C" w:rsidRDefault="00000000">
      <w:pPr>
        <w:spacing w:after="120"/>
        <w:rPr>
          <w:rFonts w:ascii="Times New Roman" w:hAnsi="Times New Roman" w:cs="Times New Roman"/>
          <w:sz w:val="24"/>
          <w:szCs w:val="24"/>
        </w:rPr>
      </w:pPr>
      <w:r w:rsidRPr="00836A8C">
        <w:rPr>
          <w:rFonts w:ascii="Times New Roman" w:hAnsi="Times New Roman" w:cs="Times New Roman"/>
          <w:sz w:val="24"/>
          <w:szCs w:val="24"/>
        </w:rPr>
        <w:t>In conclusion, pretreatment low PNI was independently associated with shorter progression-free survival in patients with BCLC stage C hepatocellular carcinoma treated with sorafenib. External validation in larger multicenter cohorts is required before routine clinical implementation.</w:t>
      </w:r>
    </w:p>
    <w:p w14:paraId="4DD9197D" w14:textId="77777777" w:rsidR="00847F05" w:rsidRPr="00836A8C" w:rsidRDefault="00000000">
      <w:pPr>
        <w:spacing w:after="120"/>
        <w:rPr>
          <w:rFonts w:ascii="Times New Roman" w:hAnsi="Times New Roman" w:cs="Times New Roman"/>
          <w:sz w:val="24"/>
          <w:szCs w:val="24"/>
        </w:rPr>
      </w:pPr>
      <w:r w:rsidRPr="00836A8C">
        <w:rPr>
          <w:rFonts w:ascii="Times New Roman" w:hAnsi="Times New Roman" w:cs="Times New Roman"/>
          <w:sz w:val="24"/>
          <w:szCs w:val="24"/>
        </w:rPr>
        <w:t>Thank you for watching.</w:t>
      </w:r>
    </w:p>
    <w:sectPr w:rsidR="00847F05" w:rsidRPr="00836A8C" w:rsidSect="00034616">
      <w:pgSz w:w="12240" w:h="15840"/>
      <w:pgMar w:top="1008" w:right="1224" w:bottom="1008"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B4DD0" w14:textId="77777777" w:rsidR="00FC05C2" w:rsidRDefault="00FC05C2">
      <w:pPr>
        <w:spacing w:after="0" w:line="240" w:lineRule="auto"/>
      </w:pPr>
      <w:r>
        <w:separator/>
      </w:r>
    </w:p>
  </w:endnote>
  <w:endnote w:type="continuationSeparator" w:id="0">
    <w:p w14:paraId="5BBEB6AE" w14:textId="77777777" w:rsidR="00FC05C2" w:rsidRDefault="00FC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8D060" w14:textId="77777777" w:rsidR="00FC05C2" w:rsidRDefault="00FC05C2">
      <w:pPr>
        <w:spacing w:after="0" w:line="240" w:lineRule="auto"/>
      </w:pPr>
      <w:r>
        <w:separator/>
      </w:r>
    </w:p>
  </w:footnote>
  <w:footnote w:type="continuationSeparator" w:id="0">
    <w:p w14:paraId="4B363099" w14:textId="77777777" w:rsidR="00FC05C2" w:rsidRDefault="00FC05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13921878">
    <w:abstractNumId w:val="8"/>
  </w:num>
  <w:num w:numId="2" w16cid:durableId="2026664807">
    <w:abstractNumId w:val="6"/>
  </w:num>
  <w:num w:numId="3" w16cid:durableId="827404315">
    <w:abstractNumId w:val="5"/>
  </w:num>
  <w:num w:numId="4" w16cid:durableId="1873611429">
    <w:abstractNumId w:val="4"/>
  </w:num>
  <w:num w:numId="5" w16cid:durableId="2055083884">
    <w:abstractNumId w:val="7"/>
  </w:num>
  <w:num w:numId="6" w16cid:durableId="1823814211">
    <w:abstractNumId w:val="3"/>
  </w:num>
  <w:num w:numId="7" w16cid:durableId="1394739292">
    <w:abstractNumId w:val="2"/>
  </w:num>
  <w:num w:numId="8" w16cid:durableId="2021737035">
    <w:abstractNumId w:val="1"/>
  </w:num>
  <w:num w:numId="9" w16cid:durableId="1403792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2D69F6"/>
    <w:rsid w:val="00326F90"/>
    <w:rsid w:val="00836A8C"/>
    <w:rsid w:val="00847F05"/>
    <w:rsid w:val="00AA1D8D"/>
    <w:rsid w:val="00B47730"/>
    <w:rsid w:val="00CB0664"/>
    <w:rsid w:val="00FC05C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E8EEF3BC-BD2B-4725-B42D-533E71A37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eastAsia="Calibri" w:hAnsi="Calibri"/>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396</Words>
  <Characters>2589</Characters>
  <Application>Microsoft Office Word</Application>
  <DocSecurity>0</DocSecurity>
  <Lines>39</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umut aydın</cp:lastModifiedBy>
  <cp:revision>2</cp:revision>
  <dcterms:created xsi:type="dcterms:W3CDTF">2013-12-23T23:15:00Z</dcterms:created>
  <dcterms:modified xsi:type="dcterms:W3CDTF">2026-06-22T20:45:00Z</dcterms:modified>
  <cp:category/>
</cp:coreProperties>
</file>