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80091" w14:textId="77777777" w:rsidR="00BD39B3" w:rsidRDefault="00000000">
      <w:r>
        <w:rPr>
          <w:rFonts w:hint="eastAsia"/>
        </w:rPr>
        <w:t>Benign metastasizing leiomyoma or BML, is a rare condition in which smooth muscle cells from uterine fibroids spread to distant sites, most commonly the lungs. In this video, we present a unique case of concurrent implantation and metastasis in the same patient, shedding new light on the pathogenesis of BML.</w:t>
      </w:r>
    </w:p>
    <w:p w14:paraId="4C1F6643" w14:textId="77777777" w:rsidR="00BD39B3" w:rsidRDefault="00BD39B3"/>
    <w:p w14:paraId="65DC867F" w14:textId="77777777" w:rsidR="00BD39B3" w:rsidRDefault="00000000">
      <w:r>
        <w:rPr>
          <w:rFonts w:hint="eastAsia"/>
        </w:rPr>
        <w:t>Our patient is a 47-year-old woman with two prior myomectomies and a total hysterectomy in 2019. Just four months post-hysterectomy, she developed palpable nodules along the abdominal incision with pelvic discomfort. She presented to our institution in late 2023.</w:t>
      </w:r>
    </w:p>
    <w:p w14:paraId="0CA635DC" w14:textId="77777777" w:rsidR="00BD39B3" w:rsidRDefault="00BD39B3"/>
    <w:p w14:paraId="648D55A9" w14:textId="77777777" w:rsidR="00BD39B3" w:rsidRDefault="00000000">
      <w:r>
        <w:rPr>
          <w:rFonts w:hint="eastAsia"/>
        </w:rPr>
        <w:t>Ultrasound identified multiple vascularized hypoechoic nodules in the abdominal wall and a 3-centimeter nodule anterior to the rectum. Contrast-enhanced MRI confirmed significant enhancement of these lesions. Crucially, pathological re-evaluation of the 2019 hysterectomy specimen revealed a uterine leiomyoma of uncertain malignant potential. This prompted chest CT, which demonstrated multiple bilateral pulmonary nodules, raising suspicion for BML.</w:t>
      </w:r>
    </w:p>
    <w:p w14:paraId="3963BE06" w14:textId="77777777" w:rsidR="00BD39B3" w:rsidRDefault="00BD39B3"/>
    <w:p w14:paraId="11DCFC07" w14:textId="77777777" w:rsidR="00BD39B3" w:rsidRDefault="00000000">
      <w:r>
        <w:rPr>
          <w:rFonts w:hint="eastAsia"/>
        </w:rPr>
        <w:t>We performed exploratory laparotomy, excising all abdominal wall nodules and the mesorectal nodule. Bilateral oophorectomy was performed simultaneously to reduce estrogen stimulation and monitor its effect on the lung lesions. Pathology confirmed cellular leiomyoma at all resected sites.</w:t>
      </w:r>
    </w:p>
    <w:p w14:paraId="148B5EA0" w14:textId="77777777" w:rsidR="00BD39B3" w:rsidRDefault="00BD39B3"/>
    <w:p w14:paraId="010ED1F0" w14:textId="77777777" w:rsidR="00BD39B3" w:rsidRDefault="00000000">
      <w:r>
        <w:rPr>
          <w:rFonts w:hint="eastAsia"/>
        </w:rPr>
        <w:t>At initial presentation, the largest pulmonary nodule measured 13.5 millimeters. Following oophorectomy, it decreased to 11 millimeters by March 2024, suggesting a transient hormone-dependent response. By August 2024, however, nodules had increased in both number and size, reaching 17 millimeters. Wedge resection in September 2024 confirmed BML.</w:t>
      </w:r>
    </w:p>
    <w:p w14:paraId="3AC05207" w14:textId="77777777" w:rsidR="00BD39B3" w:rsidRDefault="00BD39B3"/>
    <w:p w14:paraId="1489E912" w14:textId="77777777" w:rsidR="00BD39B3" w:rsidRDefault="00000000">
      <w:r>
        <w:rPr>
          <w:rFonts w:hint="eastAsia"/>
        </w:rPr>
        <w:t>Immunohistochemistry revealed that Ki-67 escalated progressively: 5%, 20%, and 30% across the abdominal wall, mesorectum, and lung, suggesting site-specific proliferative behavior. Pelvic MRI in October 2024 showed no recurrence.</w:t>
      </w:r>
    </w:p>
    <w:p w14:paraId="74FA99DC" w14:textId="77777777" w:rsidR="00BD39B3" w:rsidRDefault="00BD39B3"/>
    <w:p w14:paraId="7280BB11" w14:textId="77777777" w:rsidR="00BD39B3" w:rsidRDefault="00000000">
      <w:r>
        <w:rPr>
          <w:rFonts w:hint="eastAsia"/>
        </w:rPr>
        <w:t>This case suggests the possibility of a dual mechanism of BML spread: hematogenous metastasis to the lungs and iatrogenic implantation along the surgical incision. Both mechanisms may coexist in the same patient. We call for standardized definitions, tumor-free surgical principles, and long-term follow-up to improve outcomes for BML patients.</w:t>
      </w:r>
    </w:p>
    <w:p w14:paraId="0B1E1AC6" w14:textId="77777777" w:rsidR="00BD39B3" w:rsidRDefault="00BD39B3"/>
    <w:p w14:paraId="63DF2622" w14:textId="77777777" w:rsidR="00BD39B3" w:rsidRDefault="00000000">
      <w:r>
        <w:rPr>
          <w:rFonts w:hint="eastAsia"/>
        </w:rPr>
        <w:t>Thank you for watching.</w:t>
      </w:r>
    </w:p>
    <w:sectPr w:rsidR="00BD39B3">
      <w:footerReference w:type="even" r:id="rId6"/>
      <w:footerReference w:type="default" r:id="rId7"/>
      <w:footerReference w:type="firs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65423" w14:textId="77777777" w:rsidR="00486E57" w:rsidRDefault="00486E57" w:rsidP="006E02C4">
      <w:r>
        <w:separator/>
      </w:r>
    </w:p>
  </w:endnote>
  <w:endnote w:type="continuationSeparator" w:id="0">
    <w:p w14:paraId="79BD4E0C" w14:textId="77777777" w:rsidR="00486E57" w:rsidRDefault="00486E57" w:rsidP="006E0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25630" w14:textId="41AAEC8C" w:rsidR="006E02C4" w:rsidRDefault="006E02C4">
    <w:pPr>
      <w:pStyle w:val="Footer"/>
    </w:pPr>
    <w:r>
      <w:rPr>
        <w:noProof/>
      </w:rPr>
      <mc:AlternateContent>
        <mc:Choice Requires="wps">
          <w:drawing>
            <wp:anchor distT="0" distB="0" distL="0" distR="0" simplePos="0" relativeHeight="251659264" behindDoc="0" locked="0" layoutInCell="1" allowOverlap="1" wp14:anchorId="55418AA1" wp14:editId="08EA63C3">
              <wp:simplePos x="635" y="635"/>
              <wp:positionH relativeFrom="page">
                <wp:align>left</wp:align>
              </wp:positionH>
              <wp:positionV relativeFrom="page">
                <wp:align>bottom</wp:align>
              </wp:positionV>
              <wp:extent cx="2077085" cy="324485"/>
              <wp:effectExtent l="0" t="0" r="18415" b="0"/>
              <wp:wrapNone/>
              <wp:docPr id="2083780001"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55E486AC" w14:textId="3B0F50F2" w:rsidR="006E02C4" w:rsidRPr="006E02C4" w:rsidRDefault="006E02C4" w:rsidP="006E02C4">
                          <w:pPr>
                            <w:rPr>
                              <w:rFonts w:ascii="Rockwell" w:eastAsia="Rockwell" w:hAnsi="Rockwell" w:cs="Rockwell"/>
                              <w:noProof/>
                              <w:color w:val="0078D7"/>
                              <w:sz w:val="18"/>
                              <w:szCs w:val="18"/>
                            </w:rPr>
                          </w:pPr>
                          <w:r w:rsidRPr="006E02C4">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5418AA1" id="_x0000_t202" coordsize="21600,21600" o:spt="202" path="m,l,21600r21600,l21600,xe">
              <v:stroke joinstyle="miter"/>
              <v:path gradientshapeok="t" o:connecttype="rect"/>
            </v:shapetype>
            <v:shape id="Text Box 2" o:spid="_x0000_s1026" type="#_x0000_t202" alt="Information Classification: General" style="position:absolute;left:0;text-align:left;margin-left:0;margin-top:0;width:163.5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" filled="f" stroked="f">
              <v:fill o:detectmouseclick="t"/>
              <v:textbox style="mso-fit-shape-to-text:t" inset="20pt,0,0,15pt">
                <w:txbxContent>
                  <w:p w14:paraId="55E486AC" w14:textId="3B0F50F2" w:rsidR="006E02C4" w:rsidRPr="006E02C4" w:rsidRDefault="006E02C4" w:rsidP="006E02C4">
                    <w:pPr>
                      <w:rPr>
                        <w:rFonts w:ascii="Rockwell" w:eastAsia="Rockwell" w:hAnsi="Rockwell" w:cs="Rockwell"/>
                        <w:noProof/>
                        <w:color w:val="0078D7"/>
                        <w:sz w:val="18"/>
                        <w:szCs w:val="18"/>
                      </w:rPr>
                    </w:pPr>
                    <w:r w:rsidRPr="006E02C4">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F339" w14:textId="194F798D" w:rsidR="006E02C4" w:rsidRDefault="006E02C4">
    <w:pPr>
      <w:pStyle w:val="Footer"/>
    </w:pPr>
    <w:r>
      <w:rPr>
        <w:noProof/>
      </w:rPr>
      <mc:AlternateContent>
        <mc:Choice Requires="wps">
          <w:drawing>
            <wp:anchor distT="0" distB="0" distL="0" distR="0" simplePos="0" relativeHeight="251660288" behindDoc="0" locked="0" layoutInCell="1" allowOverlap="1" wp14:anchorId="18F6CFD8" wp14:editId="1A814146">
              <wp:simplePos x="1143000" y="9899650"/>
              <wp:positionH relativeFrom="page">
                <wp:align>left</wp:align>
              </wp:positionH>
              <wp:positionV relativeFrom="page">
                <wp:align>bottom</wp:align>
              </wp:positionV>
              <wp:extent cx="2077085" cy="324485"/>
              <wp:effectExtent l="0" t="0" r="18415" b="0"/>
              <wp:wrapNone/>
              <wp:docPr id="1466844046"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518DB4B9" w14:textId="445AFB3E" w:rsidR="006E02C4" w:rsidRPr="006E02C4" w:rsidRDefault="006E02C4" w:rsidP="006E02C4">
                          <w:pPr>
                            <w:rPr>
                              <w:rFonts w:ascii="Rockwell" w:eastAsia="Rockwell" w:hAnsi="Rockwell" w:cs="Rockwell"/>
                              <w:noProof/>
                              <w:color w:val="0078D7"/>
                              <w:sz w:val="18"/>
                              <w:szCs w:val="18"/>
                            </w:rPr>
                          </w:pPr>
                          <w:r w:rsidRPr="006E02C4">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8F6CFD8" id="_x0000_t202" coordsize="21600,21600" o:spt="202" path="m,l,21600r21600,l21600,xe">
              <v:stroke joinstyle="miter"/>
              <v:path gradientshapeok="t" o:connecttype="rect"/>
            </v:shapetype>
            <v:shape id="Text Box 3" o:spid="_x0000_s1027" type="#_x0000_t202" alt="Information Classification: General" style="position:absolute;left:0;text-align:left;margin-left:0;margin-top:0;width:163.5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" filled="f" stroked="f">
              <v:fill o:detectmouseclick="t"/>
              <v:textbox style="mso-fit-shape-to-text:t" inset="20pt,0,0,15pt">
                <w:txbxContent>
                  <w:p w14:paraId="518DB4B9" w14:textId="445AFB3E" w:rsidR="006E02C4" w:rsidRPr="006E02C4" w:rsidRDefault="006E02C4" w:rsidP="006E02C4">
                    <w:pPr>
                      <w:rPr>
                        <w:rFonts w:ascii="Rockwell" w:eastAsia="Rockwell" w:hAnsi="Rockwell" w:cs="Rockwell"/>
                        <w:noProof/>
                        <w:color w:val="0078D7"/>
                        <w:sz w:val="18"/>
                        <w:szCs w:val="18"/>
                      </w:rPr>
                    </w:pPr>
                    <w:r w:rsidRPr="006E02C4">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77F45" w14:textId="5A5BCF53" w:rsidR="006E02C4" w:rsidRDefault="006E02C4">
    <w:pPr>
      <w:pStyle w:val="Footer"/>
    </w:pPr>
    <w:r>
      <w:rPr>
        <w:noProof/>
      </w:rPr>
      <mc:AlternateContent>
        <mc:Choice Requires="wps">
          <w:drawing>
            <wp:anchor distT="0" distB="0" distL="0" distR="0" simplePos="0" relativeHeight="251658240" behindDoc="0" locked="0" layoutInCell="1" allowOverlap="1" wp14:anchorId="0F2D9280" wp14:editId="6D9ABB8A">
              <wp:simplePos x="635" y="635"/>
              <wp:positionH relativeFrom="page">
                <wp:align>left</wp:align>
              </wp:positionH>
              <wp:positionV relativeFrom="page">
                <wp:align>bottom</wp:align>
              </wp:positionV>
              <wp:extent cx="2077085" cy="324485"/>
              <wp:effectExtent l="0" t="0" r="18415" b="0"/>
              <wp:wrapNone/>
              <wp:docPr id="795257621"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77085" cy="324485"/>
                      </a:xfrm>
                      <a:prstGeom prst="rect">
                        <a:avLst/>
                      </a:prstGeom>
                      <a:noFill/>
                      <a:ln>
                        <a:noFill/>
                      </a:ln>
                    </wps:spPr>
                    <wps:txbx>
                      <w:txbxContent>
                        <w:p w14:paraId="4B9F06C1" w14:textId="2ED2FEF8" w:rsidR="006E02C4" w:rsidRPr="006E02C4" w:rsidRDefault="006E02C4" w:rsidP="006E02C4">
                          <w:pPr>
                            <w:rPr>
                              <w:rFonts w:ascii="Rockwell" w:eastAsia="Rockwell" w:hAnsi="Rockwell" w:cs="Rockwell"/>
                              <w:noProof/>
                              <w:color w:val="0078D7"/>
                              <w:sz w:val="18"/>
                              <w:szCs w:val="18"/>
                            </w:rPr>
                          </w:pPr>
                          <w:r w:rsidRPr="006E02C4">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F2D9280" id="_x0000_t202" coordsize="21600,21600" o:spt="202" path="m,l,21600r21600,l21600,xe">
              <v:stroke joinstyle="miter"/>
              <v:path gradientshapeok="t" o:connecttype="rect"/>
            </v:shapetype>
            <v:shape id="Text Box 1" o:spid="_x0000_s1028" type="#_x0000_t202" alt="Information Classification: General" style="position:absolute;left:0;text-align:left;margin-left:0;margin-top:0;width:163.5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" filled="f" stroked="f">
              <v:fill o:detectmouseclick="t"/>
              <v:textbox style="mso-fit-shape-to-text:t" inset="20pt,0,0,15pt">
                <w:txbxContent>
                  <w:p w14:paraId="4B9F06C1" w14:textId="2ED2FEF8" w:rsidR="006E02C4" w:rsidRPr="006E02C4" w:rsidRDefault="006E02C4" w:rsidP="006E02C4">
                    <w:pPr>
                      <w:rPr>
                        <w:rFonts w:ascii="Rockwell" w:eastAsia="Rockwell" w:hAnsi="Rockwell" w:cs="Rockwell"/>
                        <w:noProof/>
                        <w:color w:val="0078D7"/>
                        <w:sz w:val="18"/>
                        <w:szCs w:val="18"/>
                      </w:rPr>
                    </w:pPr>
                    <w:r w:rsidRPr="006E02C4">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6BC7D" w14:textId="77777777" w:rsidR="00486E57" w:rsidRDefault="00486E57" w:rsidP="006E02C4">
      <w:r>
        <w:separator/>
      </w:r>
    </w:p>
  </w:footnote>
  <w:footnote w:type="continuationSeparator" w:id="0">
    <w:p w14:paraId="2A1C05DA" w14:textId="77777777" w:rsidR="00486E57" w:rsidRDefault="00486E57" w:rsidP="006E02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B7C970B"/>
    <w:rsid w:val="00486E57"/>
    <w:rsid w:val="006E02C4"/>
    <w:rsid w:val="00BD39B3"/>
    <w:rsid w:val="00DF50B2"/>
    <w:rsid w:val="5B7C9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F63B3C-7F83-409F-A439-42ACCD775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NZ"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E02C4"/>
    <w:pPr>
      <w:tabs>
        <w:tab w:val="center" w:pos="4513"/>
        <w:tab w:val="right" w:pos="9026"/>
      </w:tabs>
    </w:pPr>
  </w:style>
  <w:style w:type="character" w:customStyle="1" w:styleId="FooterChar">
    <w:name w:val="Footer Char"/>
    <w:basedOn w:val="DefaultParagraphFont"/>
    <w:link w:val="Footer"/>
    <w:rsid w:val="006E02C4"/>
    <w:rPr>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338</Words>
  <Characters>1931</Characters>
  <Application>Microsoft Office Word</Application>
  <DocSecurity>0</DocSecurity>
  <Lines>16</Lines>
  <Paragraphs>4</Paragraphs>
  <ScaleCrop>false</ScaleCrop>
  <Company/>
  <LinksUpToDate>false</LinksUpToDate>
  <CharactersWithSpaces>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梁哈哈哈</dc:creator>
  <cp:lastModifiedBy>Bell, Adrian</cp:lastModifiedBy>
  <cp:revision>2</cp:revision>
  <dcterms:created xsi:type="dcterms:W3CDTF">2026-06-02T09:07:00Z</dcterms:created>
  <dcterms:modified xsi:type="dcterms:W3CDTF">2026-06-16T23:03:00Z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2052-7.3.1.8967</vt:lpwstr>
  </property>
  <property fmtid="{D5CDD505-2E9C-101B-9397-08002B2CF9AE}" pid="3" name="ICV">
    <vt:lpwstr>74E49314F56F1CF9D72C1E6A63EF06C2_41</vt:lpwstr>
  </property>
  <property fmtid="{D5CDD505-2E9C-101B-9397-08002B2CF9AE}" pid="4" name="ClassificationContentMarkingFooterShapeIds">
    <vt:lpwstr>2f66ab15,7c33f5a1,576e438e</vt:lpwstr>
  </property>
  <property fmtid="{D5CDD505-2E9C-101B-9397-08002B2CF9AE}" pid="5" name="ClassificationContentMarkingFooterFontProps">
    <vt:lpwstr>#0078d7,9,Rockwell</vt:lpwstr>
  </property>
  <property fmtid="{D5CDD505-2E9C-101B-9397-08002B2CF9AE}" pid="6" name="ClassificationContentMarkingFooterText">
    <vt:lpwstr>Information Classification: General</vt:lpwstr>
  </property>
  <property fmtid="{D5CDD505-2E9C-101B-9397-08002B2CF9AE}" pid="7" name="MSIP_Label_2bbab825-a111-45e4-86a1-18cee0005896_Enabled">
    <vt:lpwstr>true</vt:lpwstr>
  </property>
  <property fmtid="{D5CDD505-2E9C-101B-9397-08002B2CF9AE}" pid="8" name="MSIP_Label_2bbab825-a111-45e4-86a1-18cee0005896_SetDate">
    <vt:lpwstr>2026-06-16T23:03:39Z</vt:lpwstr>
  </property>
  <property fmtid="{D5CDD505-2E9C-101B-9397-08002B2CF9AE}" pid="9" name="MSIP_Label_2bbab825-a111-45e4-86a1-18cee0005896_Method">
    <vt:lpwstr>Standard</vt:lpwstr>
  </property>
  <property fmtid="{D5CDD505-2E9C-101B-9397-08002B2CF9AE}" pid="10" name="MSIP_Label_2bbab825-a111-45e4-86a1-18cee0005896_Name">
    <vt:lpwstr>2bbab825-a111-45e4-86a1-18cee0005896</vt:lpwstr>
  </property>
  <property fmtid="{D5CDD505-2E9C-101B-9397-08002B2CF9AE}" pid="11" name="MSIP_Label_2bbab825-a111-45e4-86a1-18cee0005896_SiteId">
    <vt:lpwstr>2567d566-604c-408a-8a60-55d0dc9d9d6b</vt:lpwstr>
  </property>
  <property fmtid="{D5CDD505-2E9C-101B-9397-08002B2CF9AE}" pid="12" name="MSIP_Label_2bbab825-a111-45e4-86a1-18cee0005896_ActionId">
    <vt:lpwstr>9cfbff48-6ef7-4d28-871b-f6cb031f55f1</vt:lpwstr>
  </property>
  <property fmtid="{D5CDD505-2E9C-101B-9397-08002B2CF9AE}" pid="13" name="MSIP_Label_2bbab825-a111-45e4-86a1-18cee0005896_ContentBits">
    <vt:lpwstr>2</vt:lpwstr>
  </property>
  <property fmtid="{D5CDD505-2E9C-101B-9397-08002B2CF9AE}" pid="14" name="MSIP_Label_2bbab825-a111-45e4-86a1-18cee0005896_Tag">
    <vt:lpwstr>10, 3, 0, 1</vt:lpwstr>
  </property>
</Properties>
</file>