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7489F" w14:textId="77777777" w:rsidR="0078647E" w:rsidRDefault="00000000">
      <w:pPr>
        <w:pStyle w:val="NormalWeb"/>
        <w:widowControl/>
        <w:shd w:val="clear" w:color="auto" w:fill="FFFFFF"/>
        <w:spacing w:after="240"/>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Hello everyone. I’m honored to share a key finding from Zunyi First People’s Hospital, led by Dr. Li Yang, supervised by Dr. Rui Qu. Non-lactational mastitis (NPM) is a benign chronic condition, often lasting 9-12 months, recurring and affecting quality of life. Current treatments have drawbacks: oral steroids cause systemic side effects; anti-tuberculosis triple therapy requires 6-8 months with liver/kidney toxicity. Therefore, we compared local triamcinolone injection to anti-tuberculosis triple therapy.</w:t>
      </w:r>
    </w:p>
    <w:p w14:paraId="176993BC" w14:textId="77777777" w:rsidR="0078647E" w:rsidRDefault="00000000">
      <w:pPr>
        <w:pStyle w:val="NormalWeb"/>
        <w:widowControl/>
        <w:shd w:val="clear" w:color="auto" w:fill="FFFFFF"/>
        <w:spacing w:before="240" w:after="240"/>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We included 92 patients: 44 had weekly ultrasound-guided triamcinolone injections, 48 had daily oral rifampicin, isoniazid, and ethambutol. Results strongly favoured triamcinolone. The median treatment duration was only 41.5 days in the triamcinolone group versus 120 days in the anti-tuberculosis group—nearly a three-fold reduction. Overall remission 91.9% vs 82.4%, partial remission 97.7% vs 68.8%. Complications occurred in only 13.6% of triamcinolone patients (mainly menstrual disorders, weight gain), versus 66.7% in the anti-tuberculosis group with liver/kidney abnormalities. Lesion area reduction was faster in the triamcinolone group at 1, 3, and 6 months.</w:t>
      </w:r>
    </w:p>
    <w:p w14:paraId="3FB26A39" w14:textId="77777777" w:rsidR="0078647E" w:rsidRDefault="00000000">
      <w:pPr>
        <w:pStyle w:val="NormalWeb"/>
        <w:widowControl/>
        <w:shd w:val="clear" w:color="auto" w:fill="FFFFFF"/>
        <w:spacing w:before="240"/>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In conclusion, local triamcinolone injection significantly shortens treatment, improves short-term remission, and reduces complications versus anti-tuberculosis triple therapy. Multivariate analysis showed pathological type and initial lesion area independently influence remission. Although longer follow-up is needed, our findings support local triamcinolone as a more efficient, safer first-line option. Thank you for watching – read our full paper in Dove Medical Press.</w:t>
      </w:r>
    </w:p>
    <w:p w14:paraId="4D53B828" w14:textId="77777777" w:rsidR="0078647E" w:rsidRDefault="0078647E">
      <w:pPr>
        <w:pStyle w:val="NormalWeb"/>
        <w:widowControl/>
        <w:shd w:val="clear" w:color="auto" w:fill="FFFFFF"/>
        <w:spacing w:before="240" w:after="240"/>
        <w:rPr>
          <w:rFonts w:ascii="Segoe UI" w:eastAsia="Segoe UI" w:hAnsi="Segoe UI" w:cs="Segoe UI"/>
          <w:color w:val="0F1115"/>
          <w:shd w:val="clear" w:color="auto" w:fill="FFFFFF"/>
        </w:rPr>
      </w:pPr>
    </w:p>
    <w:p w14:paraId="4988B974" w14:textId="77777777" w:rsidR="0078647E" w:rsidRDefault="0078647E"/>
    <w:sectPr w:rsidR="0078647E">
      <w:footerReference w:type="even" r:id="rId6"/>
      <w:footerReference w:type="default" r:id="rId7"/>
      <w:footerReference w:type="firs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5AB7C" w14:textId="77777777" w:rsidR="005F474B" w:rsidRDefault="005F474B" w:rsidP="00EE686A">
      <w:r>
        <w:separator/>
      </w:r>
    </w:p>
  </w:endnote>
  <w:endnote w:type="continuationSeparator" w:id="0">
    <w:p w14:paraId="093BFA73" w14:textId="77777777" w:rsidR="005F474B" w:rsidRDefault="005F474B" w:rsidP="00EE6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5427F" w14:textId="317BE958" w:rsidR="00EE686A" w:rsidRDefault="00EE686A">
    <w:pPr>
      <w:pStyle w:val="Footer"/>
    </w:pPr>
    <w:r>
      <w:rPr>
        <w:noProof/>
      </w:rPr>
      <mc:AlternateContent>
        <mc:Choice Requires="wps">
          <w:drawing>
            <wp:anchor distT="0" distB="0" distL="0" distR="0" simplePos="0" relativeHeight="251659264" behindDoc="0" locked="0" layoutInCell="1" allowOverlap="1" wp14:anchorId="79B3AFB4" wp14:editId="6C63DF12">
              <wp:simplePos x="635" y="635"/>
              <wp:positionH relativeFrom="page">
                <wp:align>left</wp:align>
              </wp:positionH>
              <wp:positionV relativeFrom="page">
                <wp:align>bottom</wp:align>
              </wp:positionV>
              <wp:extent cx="2077085" cy="324485"/>
              <wp:effectExtent l="0" t="0" r="18415" b="0"/>
              <wp:wrapNone/>
              <wp:docPr id="2097145539"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0777DFE5" w14:textId="1CD51AC7" w:rsidR="00EE686A" w:rsidRPr="00EE686A" w:rsidRDefault="00EE686A" w:rsidP="00EE686A">
                          <w:pPr>
                            <w:rPr>
                              <w:rFonts w:ascii="Rockwell" w:eastAsia="Rockwell" w:hAnsi="Rockwell" w:cs="Rockwell"/>
                              <w:noProof/>
                              <w:color w:val="0078D7"/>
                              <w:sz w:val="18"/>
                              <w:szCs w:val="18"/>
                            </w:rPr>
                          </w:pPr>
                          <w:r w:rsidRPr="00EE686A">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9B3AFB4" id="_x0000_t202" coordsize="21600,21600" o:spt="202" path="m,l,21600r21600,l21600,xe">
              <v:stroke joinstyle="miter"/>
              <v:path gradientshapeok="t" o:connecttype="rect"/>
            </v:shapetype>
            <v:shape id="Text Box 2" o:spid="_x0000_s1026" type="#_x0000_t202" alt="Information Classification: General" style="position:absolute;left:0;text-align:left;margin-left:0;margin-top:0;width:163.5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" filled="f" stroked="f">
              <v:fill o:detectmouseclick="t"/>
              <v:textbox style="mso-fit-shape-to-text:t" inset="20pt,0,0,15pt">
                <w:txbxContent>
                  <w:p w14:paraId="0777DFE5" w14:textId="1CD51AC7" w:rsidR="00EE686A" w:rsidRPr="00EE686A" w:rsidRDefault="00EE686A" w:rsidP="00EE686A">
                    <w:pPr>
                      <w:rPr>
                        <w:rFonts w:ascii="Rockwell" w:eastAsia="Rockwell" w:hAnsi="Rockwell" w:cs="Rockwell"/>
                        <w:noProof/>
                        <w:color w:val="0078D7"/>
                        <w:sz w:val="18"/>
                        <w:szCs w:val="18"/>
                      </w:rPr>
                    </w:pPr>
                    <w:r w:rsidRPr="00EE686A">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80D67" w14:textId="791165E4" w:rsidR="00EE686A" w:rsidRDefault="00EE686A">
    <w:pPr>
      <w:pStyle w:val="Footer"/>
    </w:pPr>
    <w:r>
      <w:rPr>
        <w:noProof/>
      </w:rPr>
      <mc:AlternateContent>
        <mc:Choice Requires="wps">
          <w:drawing>
            <wp:anchor distT="0" distB="0" distL="0" distR="0" simplePos="0" relativeHeight="251660288" behindDoc="0" locked="0" layoutInCell="1" allowOverlap="1" wp14:anchorId="2B7ED703" wp14:editId="2DB5E101">
              <wp:simplePos x="1143000" y="9896475"/>
              <wp:positionH relativeFrom="page">
                <wp:align>left</wp:align>
              </wp:positionH>
              <wp:positionV relativeFrom="page">
                <wp:align>bottom</wp:align>
              </wp:positionV>
              <wp:extent cx="2077085" cy="324485"/>
              <wp:effectExtent l="0" t="0" r="18415" b="0"/>
              <wp:wrapNone/>
              <wp:docPr id="1986323971"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292CCA2C" w14:textId="3654CB82" w:rsidR="00EE686A" w:rsidRPr="00EE686A" w:rsidRDefault="00EE686A" w:rsidP="00EE686A">
                          <w:pPr>
                            <w:rPr>
                              <w:rFonts w:ascii="Rockwell" w:eastAsia="Rockwell" w:hAnsi="Rockwell" w:cs="Rockwell"/>
                              <w:noProof/>
                              <w:color w:val="0078D7"/>
                              <w:sz w:val="18"/>
                              <w:szCs w:val="18"/>
                            </w:rPr>
                          </w:pPr>
                          <w:r w:rsidRPr="00EE686A">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B7ED703" id="_x0000_t202" coordsize="21600,21600" o:spt="202" path="m,l,21600r21600,l21600,xe">
              <v:stroke joinstyle="miter"/>
              <v:path gradientshapeok="t" o:connecttype="rect"/>
            </v:shapetype>
            <v:shape id="Text Box 3" o:spid="_x0000_s1027" type="#_x0000_t202" alt="Information Classification: General" style="position:absolute;left:0;text-align:left;margin-left:0;margin-top:0;width:163.5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" filled="f" stroked="f">
              <v:fill o:detectmouseclick="t"/>
              <v:textbox style="mso-fit-shape-to-text:t" inset="20pt,0,0,15pt">
                <w:txbxContent>
                  <w:p w14:paraId="292CCA2C" w14:textId="3654CB82" w:rsidR="00EE686A" w:rsidRPr="00EE686A" w:rsidRDefault="00EE686A" w:rsidP="00EE686A">
                    <w:pPr>
                      <w:rPr>
                        <w:rFonts w:ascii="Rockwell" w:eastAsia="Rockwell" w:hAnsi="Rockwell" w:cs="Rockwell"/>
                        <w:noProof/>
                        <w:color w:val="0078D7"/>
                        <w:sz w:val="18"/>
                        <w:szCs w:val="18"/>
                      </w:rPr>
                    </w:pPr>
                    <w:r w:rsidRPr="00EE686A">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62CC4" w14:textId="02B1FA75" w:rsidR="00EE686A" w:rsidRDefault="00EE686A">
    <w:pPr>
      <w:pStyle w:val="Footer"/>
    </w:pPr>
    <w:r>
      <w:rPr>
        <w:noProof/>
      </w:rPr>
      <mc:AlternateContent>
        <mc:Choice Requires="wps">
          <w:drawing>
            <wp:anchor distT="0" distB="0" distL="0" distR="0" simplePos="0" relativeHeight="251658240" behindDoc="0" locked="0" layoutInCell="1" allowOverlap="1" wp14:anchorId="00E2000C" wp14:editId="307A9CDA">
              <wp:simplePos x="635" y="635"/>
              <wp:positionH relativeFrom="page">
                <wp:align>left</wp:align>
              </wp:positionH>
              <wp:positionV relativeFrom="page">
                <wp:align>bottom</wp:align>
              </wp:positionV>
              <wp:extent cx="2077085" cy="324485"/>
              <wp:effectExtent l="0" t="0" r="18415" b="0"/>
              <wp:wrapNone/>
              <wp:docPr id="807261579"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5D6492B0" w14:textId="765C5A7A" w:rsidR="00EE686A" w:rsidRPr="00EE686A" w:rsidRDefault="00EE686A" w:rsidP="00EE686A">
                          <w:pPr>
                            <w:rPr>
                              <w:rFonts w:ascii="Rockwell" w:eastAsia="Rockwell" w:hAnsi="Rockwell" w:cs="Rockwell"/>
                              <w:noProof/>
                              <w:color w:val="0078D7"/>
                              <w:sz w:val="18"/>
                              <w:szCs w:val="18"/>
                            </w:rPr>
                          </w:pPr>
                          <w:r w:rsidRPr="00EE686A">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E2000C" id="_x0000_t202" coordsize="21600,21600" o:spt="202" path="m,l,21600r21600,l21600,xe">
              <v:stroke joinstyle="miter"/>
              <v:path gradientshapeok="t" o:connecttype="rect"/>
            </v:shapetype>
            <v:shape id="Text Box 1" o:spid="_x0000_s1028" type="#_x0000_t202" alt="Information Classification: General" style="position:absolute;left:0;text-align:left;margin-left:0;margin-top:0;width:163.5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" filled="f" stroked="f">
              <v:fill o:detectmouseclick="t"/>
              <v:textbox style="mso-fit-shape-to-text:t" inset="20pt,0,0,15pt">
                <w:txbxContent>
                  <w:p w14:paraId="5D6492B0" w14:textId="765C5A7A" w:rsidR="00EE686A" w:rsidRPr="00EE686A" w:rsidRDefault="00EE686A" w:rsidP="00EE686A">
                    <w:pPr>
                      <w:rPr>
                        <w:rFonts w:ascii="Rockwell" w:eastAsia="Rockwell" w:hAnsi="Rockwell" w:cs="Rockwell"/>
                        <w:noProof/>
                        <w:color w:val="0078D7"/>
                        <w:sz w:val="18"/>
                        <w:szCs w:val="18"/>
                      </w:rPr>
                    </w:pPr>
                    <w:r w:rsidRPr="00EE686A">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79606" w14:textId="77777777" w:rsidR="005F474B" w:rsidRDefault="005F474B" w:rsidP="00EE686A">
      <w:r>
        <w:separator/>
      </w:r>
    </w:p>
  </w:footnote>
  <w:footnote w:type="continuationSeparator" w:id="0">
    <w:p w14:paraId="3932CAC2" w14:textId="77777777" w:rsidR="005F474B" w:rsidRDefault="005F474B" w:rsidP="00EE68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47E"/>
    <w:rsid w:val="005F474B"/>
    <w:rsid w:val="0078647E"/>
    <w:rsid w:val="009337DD"/>
    <w:rsid w:val="00EE686A"/>
    <w:rsid w:val="38AC5571"/>
    <w:rsid w:val="79992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F08178-0981-4C79-B3DD-F0FEA4A50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Pr>
      <w:sz w:val="24"/>
    </w:rPr>
  </w:style>
  <w:style w:type="character" w:styleId="Strong">
    <w:name w:val="Strong"/>
    <w:basedOn w:val="DefaultParagraphFont"/>
    <w:qFormat/>
    <w:rPr>
      <w:b/>
    </w:rPr>
  </w:style>
  <w:style w:type="paragraph" w:styleId="Footer">
    <w:name w:val="footer"/>
    <w:basedOn w:val="Normal"/>
    <w:link w:val="FooterChar"/>
    <w:rsid w:val="00EE686A"/>
    <w:pPr>
      <w:tabs>
        <w:tab w:val="center" w:pos="4513"/>
        <w:tab w:val="right" w:pos="9026"/>
      </w:tabs>
    </w:pPr>
  </w:style>
  <w:style w:type="character" w:customStyle="1" w:styleId="FooterChar">
    <w:name w:val="Footer Char"/>
    <w:basedOn w:val="DefaultParagraphFont"/>
    <w:link w:val="Footer"/>
    <w:rsid w:val="00EE686A"/>
    <w:rPr>
      <w:rFonts w:asciiTheme="minorHAnsi" w:eastAsiaTheme="minorEastAsia" w:hAnsiTheme="minorHAnsi" w:cstheme="minorBid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247</Words>
  <Characters>1411</Characters>
  <Application>Microsoft Office Word</Application>
  <DocSecurity>0</DocSecurity>
  <Lines>11</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Bell, Adrian</cp:lastModifiedBy>
  <cp:revision>2</cp:revision>
  <dcterms:created xsi:type="dcterms:W3CDTF">2014-10-29T12:08:00Z</dcterms:created>
  <dcterms:modified xsi:type="dcterms:W3CDTF">2026-06-24T20:52:00Z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eyJoZGlkIjoiNDY1ZmIxZjlmODYyOTRmZWU2YmJjODI3Y2I2YmE2MTkiLCJ1c2VySWQiOiI0NDI1NTUyOTAifQ==</vt:lpwstr>
  </property>
  <property fmtid="{D5CDD505-2E9C-101B-9397-08002B2CF9AE}" pid="4" name="ICV">
    <vt:lpwstr>2595A392DD8A4BD9BBF98D88DB081561_13</vt:lpwstr>
  </property>
  <property fmtid="{D5CDD505-2E9C-101B-9397-08002B2CF9AE}" pid="5" name="ClassificationContentMarkingFooterShapeIds">
    <vt:lpwstr>301dd58b,7cffe6c3,7664e603</vt:lpwstr>
  </property>
  <property fmtid="{D5CDD505-2E9C-101B-9397-08002B2CF9AE}" pid="6" name="ClassificationContentMarkingFooterFontProps">
    <vt:lpwstr>#0078d7,9,Rockwell</vt:lpwstr>
  </property>
  <property fmtid="{D5CDD505-2E9C-101B-9397-08002B2CF9AE}" pid="7" name="ClassificationContentMarkingFooterText">
    <vt:lpwstr>Information Classification: General</vt:lpwstr>
  </property>
  <property fmtid="{D5CDD505-2E9C-101B-9397-08002B2CF9AE}" pid="8" name="MSIP_Label_2bbab825-a111-45e4-86a1-18cee0005896_Enabled">
    <vt:lpwstr>true</vt:lpwstr>
  </property>
  <property fmtid="{D5CDD505-2E9C-101B-9397-08002B2CF9AE}" pid="9" name="MSIP_Label_2bbab825-a111-45e4-86a1-18cee0005896_SetDate">
    <vt:lpwstr>2026-06-24T20:52:57Z</vt:lpwstr>
  </property>
  <property fmtid="{D5CDD505-2E9C-101B-9397-08002B2CF9AE}" pid="10" name="MSIP_Label_2bbab825-a111-45e4-86a1-18cee0005896_Method">
    <vt:lpwstr>Standard</vt:lpwstr>
  </property>
  <property fmtid="{D5CDD505-2E9C-101B-9397-08002B2CF9AE}" pid="11" name="MSIP_Label_2bbab825-a111-45e4-86a1-18cee0005896_Name">
    <vt:lpwstr>2bbab825-a111-45e4-86a1-18cee0005896</vt:lpwstr>
  </property>
  <property fmtid="{D5CDD505-2E9C-101B-9397-08002B2CF9AE}" pid="12" name="MSIP_Label_2bbab825-a111-45e4-86a1-18cee0005896_SiteId">
    <vt:lpwstr>2567d566-604c-408a-8a60-55d0dc9d9d6b</vt:lpwstr>
  </property>
  <property fmtid="{D5CDD505-2E9C-101B-9397-08002B2CF9AE}" pid="13" name="MSIP_Label_2bbab825-a111-45e4-86a1-18cee0005896_ActionId">
    <vt:lpwstr>e30ac15d-3c37-4a1f-9de6-10c5b429983b</vt:lpwstr>
  </property>
  <property fmtid="{D5CDD505-2E9C-101B-9397-08002B2CF9AE}" pid="14" name="MSIP_Label_2bbab825-a111-45e4-86a1-18cee0005896_ContentBits">
    <vt:lpwstr>2</vt:lpwstr>
  </property>
  <property fmtid="{D5CDD505-2E9C-101B-9397-08002B2CF9AE}" pid="15" name="MSIP_Label_2bbab825-a111-45e4-86a1-18cee0005896_Tag">
    <vt:lpwstr>10, 3, 0, 1</vt:lpwstr>
  </property>
</Properties>
</file>