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EE300" w14:textId="16599704" w:rsidR="00AE336D" w:rsidRDefault="00AE336D" w:rsidP="00B96735">
      <w:pPr>
        <w:spacing w:line="360" w:lineRule="auto"/>
        <w:rPr>
          <w:lang w:val="en-ID"/>
        </w:rPr>
      </w:pPr>
      <w:r w:rsidRPr="00B96735">
        <w:rPr>
          <w:lang w:val="en-ID"/>
        </w:rPr>
        <w:t xml:space="preserve">Hello, </w:t>
      </w:r>
      <w:r w:rsidR="00544234">
        <w:rPr>
          <w:lang w:val="en-ID"/>
        </w:rPr>
        <w:t>my name is</w:t>
      </w:r>
      <w:r w:rsidRPr="00B96735">
        <w:rPr>
          <w:lang w:val="en-ID"/>
        </w:rPr>
        <w:t xml:space="preserve"> Martin Hermawan from the Division of Reproductive Endocrinology and Infertility at Universitas Padjadjaran, Indonesia. Today, I am pleased to share the findings of our recent cross-sectional study exploring the epigenetic and metabolic roots of adenomyosis. </w:t>
      </w:r>
    </w:p>
    <w:p w14:paraId="45C01D5C" w14:textId="77777777" w:rsidR="003A1257" w:rsidRPr="00B96735" w:rsidRDefault="003A1257" w:rsidP="00B96735">
      <w:pPr>
        <w:spacing w:line="360" w:lineRule="auto"/>
        <w:rPr>
          <w:lang w:val="en-ID"/>
        </w:rPr>
      </w:pPr>
    </w:p>
    <w:p w14:paraId="569FC8B4" w14:textId="7633376C" w:rsidR="00AE336D" w:rsidRPr="00B96735" w:rsidRDefault="00AE336D" w:rsidP="00B96735">
      <w:pPr>
        <w:spacing w:line="360" w:lineRule="auto"/>
        <w:rPr>
          <w:lang w:val="en-ID"/>
        </w:rPr>
      </w:pPr>
      <w:r w:rsidRPr="00B96735">
        <w:rPr>
          <w:lang w:val="en-ID"/>
        </w:rPr>
        <w:t>While we know adenomyosis leads to debilitating symptoms, its exact pathogenesis remains an enigma. Emerging evidence suggests that epigenetic abnormalities, particularly altered DNA methylation, may play a crucial role.</w:t>
      </w:r>
      <w:r w:rsidR="003A1257">
        <w:rPr>
          <w:lang w:val="en-ID"/>
        </w:rPr>
        <w:t xml:space="preserve"> </w:t>
      </w:r>
      <w:r w:rsidRPr="00B96735">
        <w:rPr>
          <w:lang w:val="en-ID"/>
        </w:rPr>
        <w:t xml:space="preserve">Our study evaluated 61 subjects: 31 patients with confirmed adenomyosis and 30 healthy controls. We simultaneously evaluated the </w:t>
      </w:r>
      <w:r w:rsidRPr="00B96735">
        <w:rPr>
          <w:i/>
          <w:iCs/>
          <w:lang w:val="en-ID"/>
        </w:rPr>
        <w:t>MTHFR</w:t>
      </w:r>
      <w:r w:rsidRPr="00B96735">
        <w:rPr>
          <w:lang w:val="en-ID"/>
        </w:rPr>
        <w:t xml:space="preserve"> C677T gene polymorphism, serum 5-MTHF, and plasma homocysteine levels. Interestingly, we found a distinct genetic disparity. There was a significant difference in the distribution of the </w:t>
      </w:r>
      <w:r w:rsidRPr="00B96735">
        <w:rPr>
          <w:i/>
          <w:iCs/>
          <w:lang w:val="en-ID"/>
        </w:rPr>
        <w:t>MTHFR</w:t>
      </w:r>
      <w:r w:rsidRPr="00B96735">
        <w:rPr>
          <w:lang w:val="en-ID"/>
        </w:rPr>
        <w:t xml:space="preserve"> C677T genotype between the two groups. The heterozygous CT genotype was drastically higher in the adenomyosis group at 35.5%, compared to just 10% in the control group. Furthermore, the frequency of the mutant T allele was significantly elevated in patients with adenomyosis at 17.7% versus 5% in controls. </w:t>
      </w:r>
    </w:p>
    <w:p w14:paraId="4AE37B74" w14:textId="77777777" w:rsidR="00AE336D" w:rsidRPr="00B96735" w:rsidRDefault="00AE336D" w:rsidP="00B96735">
      <w:pPr>
        <w:spacing w:line="360" w:lineRule="auto"/>
        <w:rPr>
          <w:lang w:val="en-ID"/>
        </w:rPr>
      </w:pPr>
    </w:p>
    <w:p w14:paraId="646AAC5C" w14:textId="0A046336" w:rsidR="00AE336D" w:rsidRPr="00B96735" w:rsidRDefault="00AE336D" w:rsidP="00B96735">
      <w:pPr>
        <w:spacing w:line="360" w:lineRule="auto"/>
        <w:rPr>
          <w:lang w:val="en-ID"/>
        </w:rPr>
      </w:pPr>
      <w:r w:rsidRPr="00B96735">
        <w:rPr>
          <w:lang w:val="en-ID"/>
        </w:rPr>
        <w:t xml:space="preserve">This genetic variation directly mirrored the patients' metabolic profiles. Serum 5-MTHF levels—the active form of folate needed for proper DNA methylation—were profoundly lower in the adenomyosis group, averaging 23.92 nmol/L compared to 32.45 nmol/L in controls. Consequently, this folate deficiency led to downstream hyperhomocysteinemia. Homocysteine levels were significantly elevated in adenomyosis patients at 12.87 µmol/L compared to 8.61 µmol/L in the control group. </w:t>
      </w:r>
    </w:p>
    <w:p w14:paraId="6B632D0C" w14:textId="77777777" w:rsidR="00AE336D" w:rsidRPr="00B96735" w:rsidRDefault="00AE336D" w:rsidP="00B96735">
      <w:pPr>
        <w:spacing w:line="360" w:lineRule="auto"/>
        <w:rPr>
          <w:lang w:val="en-ID"/>
        </w:rPr>
      </w:pPr>
    </w:p>
    <w:p w14:paraId="1FDC6913" w14:textId="72AE2A6A" w:rsidR="00AE336D" w:rsidRPr="00B96735" w:rsidRDefault="00AE336D" w:rsidP="00B96735">
      <w:pPr>
        <w:spacing w:line="360" w:lineRule="auto"/>
        <w:rPr>
          <w:lang w:val="en-ID"/>
        </w:rPr>
      </w:pPr>
      <w:r w:rsidRPr="00B96735">
        <w:rPr>
          <w:lang w:val="en-ID"/>
        </w:rPr>
        <w:t>When we analyzed the metabolic profiles of our patient cohort, we identified a clear, statistically significant deficit in circulating 5-MTHF</w:t>
      </w:r>
      <w:r w:rsidR="003A1257">
        <w:rPr>
          <w:lang w:val="en-ID"/>
        </w:rPr>
        <w:t xml:space="preserve"> </w:t>
      </w:r>
      <w:r w:rsidRPr="00B96735">
        <w:rPr>
          <w:lang w:val="en-ID"/>
        </w:rPr>
        <w:t>among patients with adenomyosis</w:t>
      </w:r>
      <w:r w:rsidR="003A1257">
        <w:rPr>
          <w:lang w:val="en-ID"/>
        </w:rPr>
        <w:t>.</w:t>
      </w:r>
      <w:r w:rsidRPr="00B96735">
        <w:rPr>
          <w:lang w:val="en-ID"/>
        </w:rPr>
        <w:t xml:space="preserve"> But this isn’t just a localized deficiency; our data links this disruption directly to genetics. We focused on the MTHFR C677T polymorphism, which acts as a metabolic bottleneck.</w:t>
      </w:r>
      <w:r w:rsidR="003A1257">
        <w:rPr>
          <w:lang w:val="en-ID"/>
        </w:rPr>
        <w:t xml:space="preserve"> </w:t>
      </w:r>
      <w:r w:rsidRPr="00B96735">
        <w:rPr>
          <w:lang w:val="en-ID"/>
        </w:rPr>
        <w:t>Within our adenomyosis group, individuals carrying the CT genotype showed the most dramatic impact, with 5-MTHF levels dropping to an average of just 22.28 nanomoles per liter.</w:t>
      </w:r>
      <w:r w:rsidR="003A1257">
        <w:rPr>
          <w:lang w:val="en-ID"/>
        </w:rPr>
        <w:t xml:space="preserve"> </w:t>
      </w:r>
      <w:r w:rsidRPr="00B96735">
        <w:rPr>
          <w:lang w:val="en-ID"/>
        </w:rPr>
        <w:t xml:space="preserve">While we observed a similar trend in our control group, the genetic gap was significantly less severe. </w:t>
      </w:r>
    </w:p>
    <w:p w14:paraId="65B7D138" w14:textId="77777777" w:rsidR="00AE336D" w:rsidRPr="00B96735" w:rsidRDefault="00AE336D" w:rsidP="00B96735">
      <w:pPr>
        <w:spacing w:line="360" w:lineRule="auto"/>
        <w:rPr>
          <w:b/>
          <w:bCs/>
          <w:lang w:val="en-ID"/>
        </w:rPr>
      </w:pPr>
    </w:p>
    <w:p w14:paraId="0FB97AB9" w14:textId="35D8021A" w:rsidR="007A716E" w:rsidRPr="00B96735" w:rsidRDefault="00AE336D" w:rsidP="00B96735">
      <w:pPr>
        <w:spacing w:line="360" w:lineRule="auto"/>
      </w:pPr>
      <w:r w:rsidRPr="00B96735">
        <w:rPr>
          <w:lang w:val="en-ID"/>
        </w:rPr>
        <w:t xml:space="preserve">These findings strongly indicate that the </w:t>
      </w:r>
      <w:r w:rsidRPr="00B96735">
        <w:rPr>
          <w:i/>
          <w:iCs/>
          <w:lang w:val="en-ID"/>
        </w:rPr>
        <w:t>MTHFR</w:t>
      </w:r>
      <w:r w:rsidRPr="00B96735">
        <w:rPr>
          <w:lang w:val="en-ID"/>
        </w:rPr>
        <w:t xml:space="preserve"> C677T polymorphism, low 5-MTHF, and high homocysteine are deeply intertwined with adenomyosis, likely driving the disease through methylation abnormalities that induce progesterone resistance and inflammation. Understanding these epigenetic pathways opens exciting new doors for targeted therapeutic interventions and nutritional strategies in reproductive medicine. I invite you to read our full open-access article at Dove Medical Press. Thank you very much for watchin</w:t>
      </w:r>
      <w:r w:rsidR="00204A31">
        <w:rPr>
          <w:lang w:val="en-ID"/>
        </w:rPr>
        <w:t>g.</w:t>
      </w:r>
    </w:p>
    <w:sectPr w:rsidR="007A716E" w:rsidRPr="00B96735">
      <w:footerReference w:type="even" r:id="rId6"/>
      <w:footerReference w:type="default" r:id="rId7"/>
      <w:foot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3934B" w14:textId="77777777" w:rsidR="00FC0024" w:rsidRDefault="00FC0024" w:rsidP="003A1257">
      <w:pPr>
        <w:spacing w:line="240" w:lineRule="auto"/>
      </w:pPr>
      <w:r>
        <w:separator/>
      </w:r>
    </w:p>
  </w:endnote>
  <w:endnote w:type="continuationSeparator" w:id="0">
    <w:p w14:paraId="27F40D2A" w14:textId="77777777" w:rsidR="00FC0024" w:rsidRDefault="00FC0024" w:rsidP="003A12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26DF" w14:textId="55DF2A6B" w:rsidR="003A1257" w:rsidRDefault="003A1257">
    <w:pPr>
      <w:pStyle w:val="Footer"/>
    </w:pPr>
    <w:r>
      <w:rPr>
        <w:noProof/>
        <w14:ligatures w14:val="standardContextual"/>
      </w:rPr>
      <mc:AlternateContent>
        <mc:Choice Requires="wps">
          <w:drawing>
            <wp:anchor distT="0" distB="0" distL="0" distR="0" simplePos="0" relativeHeight="251659264" behindDoc="0" locked="0" layoutInCell="1" allowOverlap="1" wp14:anchorId="6D6B387D" wp14:editId="51B8847C">
              <wp:simplePos x="635" y="635"/>
              <wp:positionH relativeFrom="page">
                <wp:align>left</wp:align>
              </wp:positionH>
              <wp:positionV relativeFrom="page">
                <wp:align>bottom</wp:align>
              </wp:positionV>
              <wp:extent cx="2085975" cy="459105"/>
              <wp:effectExtent l="0" t="0" r="9525" b="0"/>
              <wp:wrapNone/>
              <wp:docPr id="84745057"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459105"/>
                      </a:xfrm>
                      <a:prstGeom prst="rect">
                        <a:avLst/>
                      </a:prstGeom>
                      <a:noFill/>
                      <a:ln>
                        <a:noFill/>
                      </a:ln>
                    </wps:spPr>
                    <wps:txbx>
                      <w:txbxContent>
                        <w:p w14:paraId="5EAD986D" w14:textId="44BD6E7B" w:rsidR="003A1257" w:rsidRPr="003A1257" w:rsidRDefault="003A1257" w:rsidP="003A1257">
                          <w:pPr>
                            <w:rPr>
                              <w:rFonts w:ascii="Rockwell" w:eastAsia="Rockwell" w:hAnsi="Rockwell" w:cs="Rockwell"/>
                              <w:noProof/>
                              <w:color w:val="0078D7"/>
                              <w:sz w:val="18"/>
                              <w:szCs w:val="18"/>
                            </w:rPr>
                          </w:pPr>
                          <w:r w:rsidRPr="003A1257">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6B387D"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36.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" filled="f" stroked="f">
              <v:fill o:detectmouseclick="t"/>
              <v:textbox style="mso-fit-shape-to-text:t" inset="20pt,0,0,15pt">
                <w:txbxContent>
                  <w:p w14:paraId="5EAD986D" w14:textId="44BD6E7B" w:rsidR="003A1257" w:rsidRPr="003A1257" w:rsidRDefault="003A1257" w:rsidP="003A1257">
                    <w:pPr>
                      <w:rPr>
                        <w:rFonts w:ascii="Rockwell" w:eastAsia="Rockwell" w:hAnsi="Rockwell" w:cs="Rockwell"/>
                        <w:noProof/>
                        <w:color w:val="0078D7"/>
                        <w:sz w:val="18"/>
                        <w:szCs w:val="18"/>
                      </w:rPr>
                    </w:pPr>
                    <w:r w:rsidRPr="003A1257">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5BC34" w14:textId="7DC04177" w:rsidR="003A1257" w:rsidRDefault="003A1257">
    <w:pPr>
      <w:pStyle w:val="Footer"/>
    </w:pPr>
    <w:r>
      <w:rPr>
        <w:noProof/>
        <w14:ligatures w14:val="standardContextual"/>
      </w:rPr>
      <mc:AlternateContent>
        <mc:Choice Requires="wps">
          <w:drawing>
            <wp:anchor distT="0" distB="0" distL="0" distR="0" simplePos="0" relativeHeight="251660288" behindDoc="0" locked="0" layoutInCell="1" allowOverlap="1" wp14:anchorId="539C5AC1" wp14:editId="33CF85F9">
              <wp:simplePos x="914400" y="10098593"/>
              <wp:positionH relativeFrom="page">
                <wp:align>left</wp:align>
              </wp:positionH>
              <wp:positionV relativeFrom="page">
                <wp:align>bottom</wp:align>
              </wp:positionV>
              <wp:extent cx="2085975" cy="459105"/>
              <wp:effectExtent l="0" t="0" r="9525" b="0"/>
              <wp:wrapNone/>
              <wp:docPr id="1858886211"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459105"/>
                      </a:xfrm>
                      <a:prstGeom prst="rect">
                        <a:avLst/>
                      </a:prstGeom>
                      <a:noFill/>
                      <a:ln>
                        <a:noFill/>
                      </a:ln>
                    </wps:spPr>
                    <wps:txbx>
                      <w:txbxContent>
                        <w:p w14:paraId="13329996" w14:textId="173ADBEC" w:rsidR="003A1257" w:rsidRPr="003A1257" w:rsidRDefault="003A1257" w:rsidP="003A1257">
                          <w:pPr>
                            <w:rPr>
                              <w:rFonts w:ascii="Rockwell" w:eastAsia="Rockwell" w:hAnsi="Rockwell" w:cs="Rockwell"/>
                              <w:noProof/>
                              <w:color w:val="0078D7"/>
                              <w:sz w:val="18"/>
                              <w:szCs w:val="18"/>
                            </w:rPr>
                          </w:pPr>
                          <w:r w:rsidRPr="003A1257">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9C5AC1"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36.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" filled="f" stroked="f">
              <v:fill o:detectmouseclick="t"/>
              <v:textbox style="mso-fit-shape-to-text:t" inset="20pt,0,0,15pt">
                <w:txbxContent>
                  <w:p w14:paraId="13329996" w14:textId="173ADBEC" w:rsidR="003A1257" w:rsidRPr="003A1257" w:rsidRDefault="003A1257" w:rsidP="003A1257">
                    <w:pPr>
                      <w:rPr>
                        <w:rFonts w:ascii="Rockwell" w:eastAsia="Rockwell" w:hAnsi="Rockwell" w:cs="Rockwell"/>
                        <w:noProof/>
                        <w:color w:val="0078D7"/>
                        <w:sz w:val="18"/>
                        <w:szCs w:val="18"/>
                      </w:rPr>
                    </w:pPr>
                    <w:r w:rsidRPr="003A1257">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556E9" w14:textId="055E98CB" w:rsidR="003A1257" w:rsidRDefault="003A1257">
    <w:pPr>
      <w:pStyle w:val="Footer"/>
    </w:pPr>
    <w:r>
      <w:rPr>
        <w:noProof/>
        <w14:ligatures w14:val="standardContextual"/>
      </w:rPr>
      <mc:AlternateContent>
        <mc:Choice Requires="wps">
          <w:drawing>
            <wp:anchor distT="0" distB="0" distL="0" distR="0" simplePos="0" relativeHeight="251658240" behindDoc="0" locked="0" layoutInCell="1" allowOverlap="1" wp14:anchorId="19186144" wp14:editId="464F2338">
              <wp:simplePos x="635" y="635"/>
              <wp:positionH relativeFrom="page">
                <wp:align>left</wp:align>
              </wp:positionH>
              <wp:positionV relativeFrom="page">
                <wp:align>bottom</wp:align>
              </wp:positionV>
              <wp:extent cx="2085975" cy="459105"/>
              <wp:effectExtent l="0" t="0" r="9525" b="0"/>
              <wp:wrapNone/>
              <wp:docPr id="1996767466"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459105"/>
                      </a:xfrm>
                      <a:prstGeom prst="rect">
                        <a:avLst/>
                      </a:prstGeom>
                      <a:noFill/>
                      <a:ln>
                        <a:noFill/>
                      </a:ln>
                    </wps:spPr>
                    <wps:txbx>
                      <w:txbxContent>
                        <w:p w14:paraId="21B872E3" w14:textId="3C1C2ED4" w:rsidR="003A1257" w:rsidRPr="003A1257" w:rsidRDefault="003A1257" w:rsidP="003A1257">
                          <w:pPr>
                            <w:rPr>
                              <w:rFonts w:ascii="Rockwell" w:eastAsia="Rockwell" w:hAnsi="Rockwell" w:cs="Rockwell"/>
                              <w:noProof/>
                              <w:color w:val="0078D7"/>
                              <w:sz w:val="18"/>
                              <w:szCs w:val="18"/>
                            </w:rPr>
                          </w:pPr>
                          <w:r w:rsidRPr="003A1257">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186144"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36.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" filled="f" stroked="f">
              <v:fill o:detectmouseclick="t"/>
              <v:textbox style="mso-fit-shape-to-text:t" inset="20pt,0,0,15pt">
                <w:txbxContent>
                  <w:p w14:paraId="21B872E3" w14:textId="3C1C2ED4" w:rsidR="003A1257" w:rsidRPr="003A1257" w:rsidRDefault="003A1257" w:rsidP="003A1257">
                    <w:pPr>
                      <w:rPr>
                        <w:rFonts w:ascii="Rockwell" w:eastAsia="Rockwell" w:hAnsi="Rockwell" w:cs="Rockwell"/>
                        <w:noProof/>
                        <w:color w:val="0078D7"/>
                        <w:sz w:val="18"/>
                        <w:szCs w:val="18"/>
                      </w:rPr>
                    </w:pPr>
                    <w:r w:rsidRPr="003A1257">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7CBA5" w14:textId="77777777" w:rsidR="00FC0024" w:rsidRDefault="00FC0024" w:rsidP="003A1257">
      <w:pPr>
        <w:spacing w:line="240" w:lineRule="auto"/>
      </w:pPr>
      <w:r>
        <w:separator/>
      </w:r>
    </w:p>
  </w:footnote>
  <w:footnote w:type="continuationSeparator" w:id="0">
    <w:p w14:paraId="26356FD5" w14:textId="77777777" w:rsidR="00FC0024" w:rsidRDefault="00FC0024" w:rsidP="003A125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36D"/>
    <w:rsid w:val="001C3F11"/>
    <w:rsid w:val="00204A31"/>
    <w:rsid w:val="0024394D"/>
    <w:rsid w:val="00264E57"/>
    <w:rsid w:val="00302F98"/>
    <w:rsid w:val="003A1257"/>
    <w:rsid w:val="003A2F1E"/>
    <w:rsid w:val="00544234"/>
    <w:rsid w:val="006E0951"/>
    <w:rsid w:val="006F46E3"/>
    <w:rsid w:val="00745825"/>
    <w:rsid w:val="00766BBA"/>
    <w:rsid w:val="007A716E"/>
    <w:rsid w:val="00AE336D"/>
    <w:rsid w:val="00B26045"/>
    <w:rsid w:val="00B53EFF"/>
    <w:rsid w:val="00B96735"/>
    <w:rsid w:val="00C17678"/>
    <w:rsid w:val="00F50B8B"/>
    <w:rsid w:val="00FC002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557F"/>
  <w15:chartTrackingRefBased/>
  <w15:docId w15:val="{0C20966C-760D-443D-9A71-689BDDCE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36D"/>
    <w:pPr>
      <w:spacing w:after="0" w:line="480" w:lineRule="auto"/>
    </w:pPr>
    <w:rPr>
      <w:rFonts w:ascii="Arial" w:eastAsia="Times New Roman" w:hAnsi="Arial" w:cs="Times New Roman"/>
      <w:kern w:val="0"/>
      <w:sz w:val="20"/>
      <w:szCs w:val="24"/>
      <w:lang w:val="en-US"/>
      <w14:ligatures w14:val="none"/>
    </w:rPr>
  </w:style>
  <w:style w:type="paragraph" w:styleId="Heading1">
    <w:name w:val="heading 1"/>
    <w:basedOn w:val="Normal"/>
    <w:next w:val="Normal"/>
    <w:link w:val="Heading1Char"/>
    <w:uiPriority w:val="9"/>
    <w:qFormat/>
    <w:rsid w:val="00AE33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3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3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3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3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36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36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36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36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36D"/>
    <w:rPr>
      <w:rFonts w:eastAsiaTheme="majorEastAsia" w:cstheme="majorBidi"/>
      <w:color w:val="272727" w:themeColor="text1" w:themeTint="D8"/>
    </w:rPr>
  </w:style>
  <w:style w:type="paragraph" w:styleId="Title">
    <w:name w:val="Title"/>
    <w:basedOn w:val="Normal"/>
    <w:next w:val="Normal"/>
    <w:link w:val="TitleChar"/>
    <w:uiPriority w:val="10"/>
    <w:qFormat/>
    <w:rsid w:val="00AE3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3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36D"/>
    <w:pPr>
      <w:spacing w:before="160"/>
      <w:jc w:val="center"/>
    </w:pPr>
    <w:rPr>
      <w:i/>
      <w:iCs/>
      <w:color w:val="404040" w:themeColor="text1" w:themeTint="BF"/>
    </w:rPr>
  </w:style>
  <w:style w:type="character" w:customStyle="1" w:styleId="QuoteChar">
    <w:name w:val="Quote Char"/>
    <w:basedOn w:val="DefaultParagraphFont"/>
    <w:link w:val="Quote"/>
    <w:uiPriority w:val="29"/>
    <w:rsid w:val="00AE336D"/>
    <w:rPr>
      <w:i/>
      <w:iCs/>
      <w:color w:val="404040" w:themeColor="text1" w:themeTint="BF"/>
    </w:rPr>
  </w:style>
  <w:style w:type="paragraph" w:styleId="ListParagraph">
    <w:name w:val="List Paragraph"/>
    <w:basedOn w:val="Normal"/>
    <w:uiPriority w:val="34"/>
    <w:qFormat/>
    <w:rsid w:val="00AE336D"/>
    <w:pPr>
      <w:ind w:left="720"/>
      <w:contextualSpacing/>
    </w:pPr>
  </w:style>
  <w:style w:type="character" w:styleId="IntenseEmphasis">
    <w:name w:val="Intense Emphasis"/>
    <w:basedOn w:val="DefaultParagraphFont"/>
    <w:uiPriority w:val="21"/>
    <w:qFormat/>
    <w:rsid w:val="00AE336D"/>
    <w:rPr>
      <w:i/>
      <w:iCs/>
      <w:color w:val="0F4761" w:themeColor="accent1" w:themeShade="BF"/>
    </w:rPr>
  </w:style>
  <w:style w:type="paragraph" w:styleId="IntenseQuote">
    <w:name w:val="Intense Quote"/>
    <w:basedOn w:val="Normal"/>
    <w:next w:val="Normal"/>
    <w:link w:val="IntenseQuoteChar"/>
    <w:uiPriority w:val="30"/>
    <w:qFormat/>
    <w:rsid w:val="00AE3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36D"/>
    <w:rPr>
      <w:i/>
      <w:iCs/>
      <w:color w:val="0F4761" w:themeColor="accent1" w:themeShade="BF"/>
    </w:rPr>
  </w:style>
  <w:style w:type="character" w:styleId="IntenseReference">
    <w:name w:val="Intense Reference"/>
    <w:basedOn w:val="DefaultParagraphFont"/>
    <w:uiPriority w:val="32"/>
    <w:qFormat/>
    <w:rsid w:val="00AE336D"/>
    <w:rPr>
      <w:b/>
      <w:bCs/>
      <w:smallCaps/>
      <w:color w:val="0F4761" w:themeColor="accent1" w:themeShade="BF"/>
      <w:spacing w:val="5"/>
    </w:rPr>
  </w:style>
  <w:style w:type="paragraph" w:styleId="Footer">
    <w:name w:val="footer"/>
    <w:basedOn w:val="Normal"/>
    <w:link w:val="FooterChar"/>
    <w:uiPriority w:val="99"/>
    <w:unhideWhenUsed/>
    <w:rsid w:val="003A1257"/>
    <w:pPr>
      <w:tabs>
        <w:tab w:val="center" w:pos="4513"/>
        <w:tab w:val="right" w:pos="9026"/>
      </w:tabs>
      <w:spacing w:line="240" w:lineRule="auto"/>
    </w:pPr>
  </w:style>
  <w:style w:type="character" w:customStyle="1" w:styleId="FooterChar">
    <w:name w:val="Footer Char"/>
    <w:basedOn w:val="DefaultParagraphFont"/>
    <w:link w:val="Footer"/>
    <w:uiPriority w:val="99"/>
    <w:rsid w:val="003A1257"/>
    <w:rPr>
      <w:rFonts w:ascii="Arial" w:eastAsia="Times New Roman"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Hermawan</dc:creator>
  <cp:keywords/>
  <dc:description/>
  <cp:lastModifiedBy>Brown, Samantha</cp:lastModifiedBy>
  <cp:revision>3</cp:revision>
  <dcterms:created xsi:type="dcterms:W3CDTF">2026-06-17T05:38:00Z</dcterms:created>
  <dcterms:modified xsi:type="dcterms:W3CDTF">2026-06-22T02:26:00Z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770440ea,50d1b61,6ecc5a43</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2026-06-22T02:26:02Z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743fdeaf-4b75-43b8-aeb6-c80864bc3655</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