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before="0" w:line="300"/>
        <w:jc w:val="left"/>
      </w:pPr>
      <w:r>
        <w:rPr>
          <w:rFonts w:ascii="Arial" w:cs="Arial" w:eastAsia="Arial" w:hAnsi="Arial"/>
          <w:b w:val="false"/>
          <w:bCs w:val="false"/>
          <w:i w:val="false"/>
          <w:iCs w:val="false"/>
          <w:color w:val="555555"/>
          <w:sz w:val="18"/>
          <w:szCs w:val="18"/>
        </w:rPr>
        <w:t xml:space="preserve">Therapeutics and Clinical Risk Management — Manuscript ID 611180 (Revised)</w:t>
      </w:r>
    </w:p>
    <w:p>
      <w:pPr>
        <w:spacing w:after="240" w:before="0" w:line="300"/>
        <w:jc w:val="left"/>
      </w:pPr>
      <w:r>
        <w:rPr>
          <w:rFonts w:ascii="Arial" w:cs="Arial" w:eastAsia="Arial" w:hAnsi="Arial"/>
          <w:b/>
          <w:bCs/>
          <w:color w:val="000000"/>
          <w:sz w:val="36"/>
          <w:szCs w:val="36"/>
        </w:rPr>
        <w:t xml:space="preserve">Video Abstract — Transcript</w:t>
      </w:r>
    </w:p>
    <w:p>
      <w:pPr>
        <w:spacing w:after="120" w:before="0" w:line="300"/>
        <w:jc w:val="left"/>
      </w:pPr>
      <w:r>
        <w:rPr>
          <w:rFonts w:ascii="Arial" w:cs="Arial" w:eastAsia="Arial" w:hAnsi="Arial"/>
          <w:b w:val="false"/>
          <w:bCs w:val="false"/>
          <w:i/>
          <w:iCs/>
          <w:color w:val="000000"/>
          <w:sz w:val="22"/>
          <w:szCs w:val="22"/>
        </w:rPr>
        <w:t xml:space="preserve">Fall Risk Assessment Tools in Older Adults across Southeast Asia and the Need for Culturally Adapted Models</w:t>
      </w:r>
    </w:p>
    <w:p>
      <w:pPr>
        <w:spacing w:after="60" w:before="0"/>
      </w:pPr>
      <w:r>
        <w:rPr>
          <w:rFonts w:ascii="Arial" w:cs="Arial" w:eastAsia="Arial" w:hAnsi="Arial"/>
          <w:b/>
          <w:bCs/>
          <w:sz w:val="20"/>
          <w:szCs w:val="20"/>
        </w:rPr>
        <w:t xml:space="preserve">Authors: </w:t>
      </w:r>
      <w:r>
        <w:rPr>
          <w:rFonts w:ascii="Times New Roman" w:cs="Times New Roman" w:eastAsia="Times New Roman" w:hAnsi="Times New Roman"/>
          <w:sz w:val="22"/>
          <w:szCs w:val="22"/>
        </w:rPr>
        <w:t xml:space="preserve">Dhika Dharmansyah, Laili Rahayuwati, Iqbal Pramukti, Kuswandewi Mutyara</w:t>
      </w:r>
    </w:p>
    <w:p>
      <w:pPr>
        <w:spacing w:after="60" w:before="0"/>
      </w:pPr>
      <w:r>
        <w:rPr>
          <w:rFonts w:ascii="Arial" w:cs="Arial" w:eastAsia="Arial" w:hAnsi="Arial"/>
          <w:b/>
          <w:bCs/>
          <w:sz w:val="20"/>
          <w:szCs w:val="20"/>
        </w:rPr>
        <w:t xml:space="preserve">Affiliation: </w:t>
      </w:r>
      <w:r>
        <w:rPr>
          <w:rFonts w:ascii="Times New Roman" w:cs="Times New Roman" w:eastAsia="Times New Roman" w:hAnsi="Times New Roman"/>
          <w:sz w:val="22"/>
          <w:szCs w:val="22"/>
        </w:rPr>
        <w:t xml:space="preserve">Universitas Padjadjaran · Universitas Pendidikan Indonesia</w:t>
      </w:r>
    </w:p>
    <w:p>
      <w:pPr>
        <w:spacing w:after="60" w:before="0"/>
      </w:pPr>
      <w:r>
        <w:rPr>
          <w:rFonts w:ascii="Arial" w:cs="Arial" w:eastAsia="Arial" w:hAnsi="Arial"/>
          <w:b/>
          <w:bCs/>
          <w:sz w:val="20"/>
          <w:szCs w:val="20"/>
        </w:rPr>
        <w:t xml:space="preserve">Corresponding author: </w:t>
      </w:r>
      <w:r>
        <w:rPr>
          <w:rFonts w:ascii="Times New Roman" w:cs="Times New Roman" w:eastAsia="Times New Roman" w:hAnsi="Times New Roman"/>
          <w:sz w:val="22"/>
          <w:szCs w:val="22"/>
        </w:rPr>
        <w:t xml:space="preserve">Prof. Laili Rahayuwati (laili.rahayuwati@unpad.ac.id)</w:t>
      </w:r>
    </w:p>
    <w:p>
      <w:pPr>
        <w:spacing w:after="60" w:before="0"/>
      </w:pPr>
      <w:r>
        <w:rPr>
          <w:rFonts w:ascii="Arial" w:cs="Arial" w:eastAsia="Arial" w:hAnsi="Arial"/>
          <w:b/>
          <w:bCs/>
          <w:sz w:val="20"/>
          <w:szCs w:val="20"/>
        </w:rPr>
        <w:t xml:space="preserve">Runtime: </w:t>
      </w:r>
      <w:r>
        <w:rPr>
          <w:rFonts w:ascii="Times New Roman" w:cs="Times New Roman" w:eastAsia="Times New Roman" w:hAnsi="Times New Roman"/>
          <w:sz w:val="22"/>
          <w:szCs w:val="22"/>
        </w:rPr>
        <w:t xml:space="preserve">02:34  ·  Format: MP4, 1920×1080, H.264 + AAC  ·  Subtitles: burned-in English</w:t>
      </w:r>
    </w:p>
    <w:p>
      <w:pPr>
        <w:spacing w:after="240" w:before="0"/>
      </w:pPr>
      <w:r>
        <w:rPr>
          <w:rFonts w:ascii="Arial" w:cs="Arial" w:eastAsia="Arial" w:hAnsi="Arial"/>
          <w:b/>
          <w:bCs/>
          <w:sz w:val="20"/>
          <w:szCs w:val="20"/>
        </w:rPr>
        <w:t xml:space="preserve">Open data: </w:t>
      </w:r>
      <w:r>
        <w:rPr>
          <w:rFonts w:ascii="Times New Roman" w:cs="Times New Roman" w:eastAsia="Times New Roman" w:hAnsi="Times New Roman"/>
          <w:sz w:val="22"/>
          <w:szCs w:val="22"/>
        </w:rPr>
        <w:t xml:space="preserve">Open Science Framework — https://doi.org/10.17605/OSF.IO/5DHXK</w:t>
      </w:r>
    </w:p>
    <w:p>
      <w:pPr>
        <w:pStyle w:val="Heading1"/>
        <w:spacing w:after="120" w:before="240"/>
      </w:pPr>
      <w:r>
        <w:rPr>
          <w:rFonts w:ascii="Arial" w:cs="Arial" w:eastAsia="Arial" w:hAnsi="Arial"/>
          <w:b/>
          <w:bCs/>
          <w:color w:val="000000"/>
          <w:sz w:val="28"/>
          <w:szCs w:val="28"/>
        </w:rPr>
        <w:t xml:space="preserve">Transcript</w:t>
      </w:r>
    </w:p>
    <w:p>
      <w:pPr>
        <w:spacing w:after="200" w:before="0" w:line="300"/>
        <w:jc w:val="left"/>
      </w:pPr>
      <w:r>
        <w:rPr>
          <w:rFonts w:ascii="Times New Roman" w:cs="Times New Roman" w:eastAsia="Times New Roman" w:hAnsi="Times New Roman"/>
          <w:b w:val="false"/>
          <w:bCs w:val="false"/>
          <w:i/>
          <w:iCs/>
          <w:color w:val="555555"/>
          <w:sz w:val="22"/>
          <w:szCs w:val="22"/>
        </w:rPr>
        <w:t xml:space="preserve">The transcript below is time-coded by scene to match the on-screen narration and burned-in subtitles. Time codes are minutes:seconds.</w:t>
      </w:r>
    </w:p>
    <w:p>
      <w:pPr>
        <w:spacing w:after="80" w:before="200" w:line="300"/>
      </w:pPr>
      <w:r>
        <w:rPr>
          <w:rFonts w:ascii="Arial" w:cs="Arial" w:eastAsia="Arial" w:hAnsi="Arial"/>
          <w:b/>
          <w:bCs/>
          <w:color w:val="000000"/>
          <w:sz w:val="20"/>
          <w:szCs w:val="20"/>
        </w:rPr>
        <w:t xml:space="preserve">[00:00 — 00:08]  </w:t>
      </w:r>
      <w:r>
        <w:rPr>
          <w:rFonts w:ascii="Arial" w:cs="Arial" w:eastAsia="Arial" w:hAnsi="Arial"/>
          <w:b/>
          <w:bCs/>
          <w:color w:val="000000"/>
          <w:sz w:val="20"/>
          <w:szCs w:val="20"/>
        </w:rPr>
        <w:t xml:space="preserve">Scene 1 · Cover slide</w:t>
      </w:r>
    </w:p>
    <w:p>
      <w:pPr>
        <w:spacing w:after="120" w:before="0" w:line="300"/>
        <w:jc w:val="left"/>
      </w:pPr>
      <w:r>
        <w:rPr>
          <w:rFonts w:ascii="Times New Roman" w:cs="Times New Roman" w:eastAsia="Times New Roman" w:hAnsi="Times New Roman"/>
          <w:b w:val="false"/>
          <w:bCs w:val="false"/>
          <w:i w:val="false"/>
          <w:iCs w:val="false"/>
          <w:color w:val="000000"/>
          <w:sz w:val="22"/>
          <w:szCs w:val="22"/>
        </w:rPr>
        <w:t xml:space="preserve">Welcome to our scoping review of fall risk assessment tools across Southeast Asia. The full title is shown on screen: “Fall Risk Assessment Tools in Older Adults across Southeast Asia and the Need for Culturally Adapted Models — A Scoping Review (PRISMA-ScR / JBI).”</w:t>
      </w:r>
    </w:p>
    <w:p>
      <w:pPr>
        <w:spacing w:after="80" w:before="200" w:line="300"/>
      </w:pPr>
      <w:r>
        <w:rPr>
          <w:rFonts w:ascii="Arial" w:cs="Arial" w:eastAsia="Arial" w:hAnsi="Arial"/>
          <w:b/>
          <w:bCs/>
          <w:color w:val="000000"/>
          <w:sz w:val="20"/>
          <w:szCs w:val="20"/>
        </w:rPr>
        <w:t xml:space="preserve">[00:09 — 00:25]  </w:t>
      </w:r>
      <w:r>
        <w:rPr>
          <w:rFonts w:ascii="Arial" w:cs="Arial" w:eastAsia="Arial" w:hAnsi="Arial"/>
          <w:b/>
          <w:bCs/>
          <w:color w:val="000000"/>
          <w:sz w:val="20"/>
          <w:szCs w:val="20"/>
        </w:rPr>
        <w:t xml:space="preserve">Scene 2 · Burden of falls</w:t>
      </w:r>
    </w:p>
    <w:p>
      <w:pPr>
        <w:spacing w:after="120" w:before="0" w:line="300"/>
        <w:jc w:val="left"/>
      </w:pPr>
      <w:r>
        <w:rPr>
          <w:rFonts w:ascii="Times New Roman" w:cs="Times New Roman" w:eastAsia="Times New Roman" w:hAnsi="Times New Roman"/>
          <w:b w:val="false"/>
          <w:bCs w:val="false"/>
          <w:i w:val="false"/>
          <w:iCs w:val="false"/>
          <w:color w:val="000000"/>
          <w:sz w:val="22"/>
          <w:szCs w:val="22"/>
        </w:rPr>
        <w:t xml:space="preserve">Falls are a leading cause of injury and death among older adults worldwide, and the burden is rising fastest in Southeast Asia, where eleven nations are ageing more rapidly than any other region.</w:t>
      </w:r>
    </w:p>
    <w:p>
      <w:pPr>
        <w:spacing w:after="80" w:before="200" w:line="300"/>
      </w:pPr>
      <w:r>
        <w:rPr>
          <w:rFonts w:ascii="Arial" w:cs="Arial" w:eastAsia="Arial" w:hAnsi="Arial"/>
          <w:b/>
          <w:bCs/>
          <w:color w:val="000000"/>
          <w:sz w:val="20"/>
          <w:szCs w:val="20"/>
        </w:rPr>
        <w:t xml:space="preserve">[00:25 — 00:33]  </w:t>
      </w:r>
      <w:r>
        <w:rPr>
          <w:rFonts w:ascii="Arial" w:cs="Arial" w:eastAsia="Arial" w:hAnsi="Arial"/>
          <w:b/>
          <w:bCs/>
          <w:color w:val="000000"/>
          <w:sz w:val="20"/>
          <w:szCs w:val="20"/>
        </w:rPr>
        <w:t xml:space="preserve">Scene 3 · Research questions</w:t>
      </w:r>
    </w:p>
    <w:p>
      <w:pPr>
        <w:spacing w:after="120" w:before="0" w:line="300"/>
        <w:jc w:val="left"/>
      </w:pPr>
      <w:r>
        <w:rPr>
          <w:rFonts w:ascii="Times New Roman" w:cs="Times New Roman" w:eastAsia="Times New Roman" w:hAnsi="Times New Roman"/>
          <w:b w:val="false"/>
          <w:bCs w:val="false"/>
          <w:i w:val="false"/>
          <w:iCs w:val="false"/>
          <w:color w:val="000000"/>
          <w:sz w:val="22"/>
          <w:szCs w:val="22"/>
        </w:rPr>
        <w:t xml:space="preserve">But which fall risk tools are actually used across Southeast Asia, and do they reflect the cultures of the people they assess? Our review answers these two questions.</w:t>
      </w:r>
    </w:p>
    <w:p>
      <w:pPr>
        <w:spacing w:after="80" w:before="200" w:line="300"/>
      </w:pPr>
      <w:r>
        <w:rPr>
          <w:rFonts w:ascii="Arial" w:cs="Arial" w:eastAsia="Arial" w:hAnsi="Arial"/>
          <w:b/>
          <w:bCs/>
          <w:color w:val="000000"/>
          <w:sz w:val="20"/>
          <w:szCs w:val="20"/>
        </w:rPr>
        <w:t xml:space="preserve">[00:33 — 00:52]  </w:t>
      </w:r>
      <w:r>
        <w:rPr>
          <w:rFonts w:ascii="Arial" w:cs="Arial" w:eastAsia="Arial" w:hAnsi="Arial"/>
          <w:b/>
          <w:bCs/>
          <w:color w:val="000000"/>
          <w:sz w:val="20"/>
          <w:szCs w:val="20"/>
        </w:rPr>
        <w:t xml:space="preserve">Scene 4 · Methods</w:t>
      </w:r>
    </w:p>
    <w:p>
      <w:pPr>
        <w:spacing w:after="120" w:before="0" w:line="300"/>
        <w:jc w:val="left"/>
      </w:pPr>
      <w:r>
        <w:rPr>
          <w:rFonts w:ascii="Times New Roman" w:cs="Times New Roman" w:eastAsia="Times New Roman" w:hAnsi="Times New Roman"/>
          <w:b w:val="false"/>
          <w:bCs w:val="false"/>
          <w:i w:val="false"/>
          <w:iCs w:val="false"/>
          <w:color w:val="000000"/>
          <w:sz w:val="22"/>
          <w:szCs w:val="22"/>
        </w:rPr>
        <w:t xml:space="preserve">We followed PRISMA-ScR and JBI guidance. We searched PubMed, Scopus, and Web of Science from 2015 through 2025. From two hundred and seventeen records we identified 32 primary-data studies, plus three regional secondary reviews.</w:t>
      </w:r>
    </w:p>
    <w:p>
      <w:pPr>
        <w:spacing w:after="80" w:before="200" w:line="300"/>
      </w:pPr>
      <w:r>
        <w:rPr>
          <w:rFonts w:ascii="Arial" w:cs="Arial" w:eastAsia="Arial" w:hAnsi="Arial"/>
          <w:b/>
          <w:bCs/>
          <w:color w:val="000000"/>
          <w:sz w:val="20"/>
          <w:szCs w:val="20"/>
        </w:rPr>
        <w:t xml:space="preserve">[00:52 — 01:13]  </w:t>
      </w:r>
      <w:r>
        <w:rPr>
          <w:rFonts w:ascii="Arial" w:cs="Arial" w:eastAsia="Arial" w:hAnsi="Arial"/>
          <w:b/>
          <w:bCs/>
          <w:color w:val="000000"/>
          <w:sz w:val="20"/>
          <w:szCs w:val="20"/>
        </w:rPr>
        <w:t xml:space="preserve">Scene 5 · Geographic distribution</w:t>
      </w:r>
    </w:p>
    <w:p>
      <w:pPr>
        <w:spacing w:after="120" w:before="0" w:line="300"/>
        <w:jc w:val="left"/>
      </w:pPr>
      <w:r>
        <w:rPr>
          <w:rFonts w:ascii="Times New Roman" w:cs="Times New Roman" w:eastAsia="Times New Roman" w:hAnsi="Times New Roman"/>
          <w:b w:val="false"/>
          <w:bCs w:val="false"/>
          <w:i w:val="false"/>
          <w:iCs w:val="false"/>
          <w:color w:val="000000"/>
          <w:sz w:val="22"/>
          <w:szCs w:val="22"/>
        </w:rPr>
        <w:t xml:space="preserve">The evidence is geographically concentrated. Thailand contributed twelve studies, Malaysia ten, Indonesia five, Vietnam three, and Singapore two. Six ASEAN countries — Philippines, Brunei, Cambodia, Laos, Myanmar, and Timor-Leste — contributed no eligible primary studies.</w:t>
      </w:r>
    </w:p>
    <w:p>
      <w:pPr>
        <w:spacing w:after="80" w:before="200" w:line="300"/>
      </w:pPr>
      <w:r>
        <w:rPr>
          <w:rFonts w:ascii="Arial" w:cs="Arial" w:eastAsia="Arial" w:hAnsi="Arial"/>
          <w:b/>
          <w:bCs/>
          <w:color w:val="000000"/>
          <w:sz w:val="20"/>
          <w:szCs w:val="20"/>
        </w:rPr>
        <w:t xml:space="preserve">[01:13 — 01:34]  </w:t>
      </w:r>
      <w:r>
        <w:rPr>
          <w:rFonts w:ascii="Arial" w:cs="Arial" w:eastAsia="Arial" w:hAnsi="Arial"/>
          <w:b/>
          <w:bCs/>
          <w:color w:val="000000"/>
          <w:sz w:val="20"/>
          <w:szCs w:val="20"/>
        </w:rPr>
        <w:t xml:space="preserve">Scene 6 · Tool taxonomy</w:t>
      </w:r>
    </w:p>
    <w:p>
      <w:pPr>
        <w:spacing w:after="120" w:before="0" w:line="300"/>
        <w:jc w:val="left"/>
      </w:pPr>
      <w:r>
        <w:rPr>
          <w:rFonts w:ascii="Times New Roman" w:cs="Times New Roman" w:eastAsia="Times New Roman" w:hAnsi="Times New Roman"/>
          <w:b w:val="false"/>
          <w:bCs w:val="false"/>
          <w:i w:val="false"/>
          <w:iCs w:val="false"/>
          <w:color w:val="000000"/>
          <w:sz w:val="22"/>
          <w:szCs w:val="22"/>
        </w:rPr>
        <w:t xml:space="preserve">We mapped twelve fall risk tools. The Timed Up and Go test was used in twenty-five of thirty-two studies. The Falls Efficacy Scale International appeared in nine, and the Berg Balance Scale in seven. Crucially, eighty-four point four percent of studies used Western tools without any cultural adaptation.</w:t>
      </w:r>
    </w:p>
    <w:p>
      <w:pPr>
        <w:spacing w:after="80" w:before="200" w:line="300"/>
      </w:pPr>
      <w:r>
        <w:rPr>
          <w:rFonts w:ascii="Arial" w:cs="Arial" w:eastAsia="Arial" w:hAnsi="Arial"/>
          <w:b/>
          <w:bCs/>
          <w:color w:val="000000"/>
          <w:sz w:val="20"/>
          <w:szCs w:val="20"/>
        </w:rPr>
        <w:t xml:space="preserve">[01:34 — 01:51]  </w:t>
      </w:r>
      <w:r>
        <w:rPr>
          <w:rFonts w:ascii="Arial" w:cs="Arial" w:eastAsia="Arial" w:hAnsi="Arial"/>
          <w:b/>
          <w:bCs/>
          <w:color w:val="000000"/>
          <w:sz w:val="20"/>
          <w:szCs w:val="20"/>
        </w:rPr>
        <w:t xml:space="preserve">Scene 7 · The cultural gap</w:t>
      </w:r>
    </w:p>
    <w:p>
      <w:pPr>
        <w:spacing w:after="120" w:before="0" w:line="300"/>
        <w:jc w:val="left"/>
      </w:pPr>
      <w:r>
        <w:rPr>
          <w:rFonts w:ascii="Times New Roman" w:cs="Times New Roman" w:eastAsia="Times New Roman" w:hAnsi="Times New Roman"/>
          <w:b w:val="false"/>
          <w:bCs w:val="false"/>
          <w:i w:val="false"/>
          <w:iCs w:val="false"/>
          <w:color w:val="000000"/>
          <w:sz w:val="22"/>
          <w:szCs w:val="22"/>
        </w:rPr>
        <w:t xml:space="preserve">This is the central gap. Cultural realities of Southeast Asia — floor-level mobility for prayer and daily life, barefoot ambulation, multigenerational households, and tropical home environments — are invisible to most Western tools.</w:t>
      </w:r>
    </w:p>
    <w:p>
      <w:pPr>
        <w:spacing w:after="80" w:before="200" w:line="300"/>
      </w:pPr>
      <w:r>
        <w:rPr>
          <w:rFonts w:ascii="Arial" w:cs="Arial" w:eastAsia="Arial" w:hAnsi="Arial"/>
          <w:b/>
          <w:bCs/>
          <w:color w:val="000000"/>
          <w:sz w:val="20"/>
          <w:szCs w:val="20"/>
        </w:rPr>
        <w:t xml:space="preserve">[01:51 — 02:13]  </w:t>
      </w:r>
      <w:r>
        <w:rPr>
          <w:rFonts w:ascii="Arial" w:cs="Arial" w:eastAsia="Arial" w:hAnsi="Arial"/>
          <w:b/>
          <w:bCs/>
          <w:color w:val="000000"/>
          <w:sz w:val="20"/>
          <w:szCs w:val="20"/>
        </w:rPr>
        <w:t xml:space="preserve">Scene 8 · The SEA-FALL framework</w:t>
      </w:r>
    </w:p>
    <w:p>
      <w:pPr>
        <w:spacing w:after="120" w:before="0" w:line="300"/>
        <w:jc w:val="left"/>
      </w:pPr>
      <w:r>
        <w:rPr>
          <w:rFonts w:ascii="Times New Roman" w:cs="Times New Roman" w:eastAsia="Times New Roman" w:hAnsi="Times New Roman"/>
          <w:b w:val="false"/>
          <w:bCs w:val="false"/>
          <w:i w:val="false"/>
          <w:iCs w:val="false"/>
          <w:color w:val="000000"/>
          <w:sz w:val="22"/>
          <w:szCs w:val="22"/>
        </w:rPr>
        <w:t xml:space="preserve">To address this, we propose the SEA-FALL framework: Southeast Asian Fall Assessment for Living and Locality. It rests on three pillars — cultural-mobility validity, geriatric-syndrome integration, and primary-care implementation — anchored on a foundation of equity and digital scaling.</w:t>
      </w:r>
    </w:p>
    <w:p>
      <w:pPr>
        <w:spacing w:after="80" w:before="200" w:line="300"/>
      </w:pPr>
      <w:r>
        <w:rPr>
          <w:rFonts w:ascii="Arial" w:cs="Arial" w:eastAsia="Arial" w:hAnsi="Arial"/>
          <w:b/>
          <w:bCs/>
          <w:color w:val="000000"/>
          <w:sz w:val="20"/>
          <w:szCs w:val="20"/>
        </w:rPr>
        <w:t xml:space="preserve">[02:13 — 02:29]  </w:t>
      </w:r>
      <w:r>
        <w:rPr>
          <w:rFonts w:ascii="Arial" w:cs="Arial" w:eastAsia="Arial" w:hAnsi="Arial"/>
          <w:b/>
          <w:bCs/>
          <w:color w:val="000000"/>
          <w:sz w:val="20"/>
          <w:szCs w:val="20"/>
        </w:rPr>
        <w:t xml:space="preserve">Scene 9 · Call to action</w:t>
      </w:r>
    </w:p>
    <w:p>
      <w:pPr>
        <w:spacing w:after="120" w:before="0" w:line="300"/>
        <w:jc w:val="left"/>
      </w:pPr>
      <w:r>
        <w:rPr>
          <w:rFonts w:ascii="Times New Roman" w:cs="Times New Roman" w:eastAsia="Times New Roman" w:hAnsi="Times New Roman"/>
          <w:b w:val="false"/>
          <w:bCs w:val="false"/>
          <w:i w:val="false"/>
          <w:iCs w:val="false"/>
          <w:color w:val="000000"/>
          <w:sz w:val="22"/>
          <w:szCs w:val="22"/>
        </w:rPr>
        <w:t xml:space="preserve">Our message is clear. Fall risk assessment in Southeast Asia must move beyond imported instruments. We call for culturally anchored tools, multicentre validation, and policy translation across all eleven ASEAN nations.</w:t>
      </w:r>
    </w:p>
    <w:p>
      <w:pPr>
        <w:spacing w:after="80" w:before="200" w:line="300"/>
      </w:pPr>
      <w:r>
        <w:rPr>
          <w:rFonts w:ascii="Arial" w:cs="Arial" w:eastAsia="Arial" w:hAnsi="Arial"/>
          <w:b/>
          <w:bCs/>
          <w:color w:val="000000"/>
          <w:sz w:val="20"/>
          <w:szCs w:val="20"/>
        </w:rPr>
        <w:t xml:space="preserve">[02:29 — 02:34]  </w:t>
      </w:r>
      <w:r>
        <w:rPr>
          <w:rFonts w:ascii="Arial" w:cs="Arial" w:eastAsia="Arial" w:hAnsi="Arial"/>
          <w:b/>
          <w:bCs/>
          <w:color w:val="000000"/>
          <w:sz w:val="20"/>
          <w:szCs w:val="20"/>
        </w:rPr>
        <w:t xml:space="preserve">Scene 10 · Closing</w:t>
      </w:r>
    </w:p>
    <w:p>
      <w:pPr>
        <w:spacing w:after="120" w:before="0" w:line="300"/>
        <w:jc w:val="left"/>
      </w:pPr>
      <w:r>
        <w:rPr>
          <w:rFonts w:ascii="Times New Roman" w:cs="Times New Roman" w:eastAsia="Times New Roman" w:hAnsi="Times New Roman"/>
          <w:b w:val="false"/>
          <w:bCs w:val="false"/>
          <w:i w:val="false"/>
          <w:iCs w:val="false"/>
          <w:color w:val="000000"/>
          <w:sz w:val="22"/>
          <w:szCs w:val="22"/>
        </w:rPr>
        <w:t xml:space="preserve">Thank you for watching. The full manuscript and data are available on the Open Science Framework: https://doi.org/10.17605/OSF.IO/5DHXK.</w:t>
      </w:r>
    </w:p>
    <w:p>
      <w:pPr>
        <w:pStyle w:val="Heading2"/>
        <w:spacing w:after="120" w:before="240"/>
      </w:pPr>
      <w:r>
        <w:rPr>
          <w:rFonts w:ascii="Arial" w:cs="Arial" w:eastAsia="Arial" w:hAnsi="Arial"/>
          <w:b/>
          <w:bCs/>
          <w:color w:val="000000"/>
          <w:sz w:val="24"/>
          <w:szCs w:val="24"/>
        </w:rPr>
        <w:t xml:space="preserve">Notes on accessibility</w:t>
      </w:r>
    </w:p>
    <w:p>
      <w:pPr>
        <w:spacing w:after="120" w:before="0" w:line="300"/>
        <w:jc w:val="left"/>
      </w:pPr>
      <w:r>
        <w:rPr>
          <w:rFonts w:ascii="Times New Roman" w:cs="Times New Roman" w:eastAsia="Times New Roman" w:hAnsi="Times New Roman"/>
          <w:b w:val="false"/>
          <w:bCs w:val="false"/>
          <w:i w:val="false"/>
          <w:iCs w:val="false"/>
          <w:color w:val="000000"/>
          <w:sz w:val="22"/>
          <w:szCs w:val="22"/>
        </w:rPr>
        <w:t xml:space="preserve">All on-screen narration is reproduced verbatim above. The video also displays reinforcing on-screen text for every scene (titles, statistics, framework labels). Burned-in English subtitles are present throughout for viewers without audio.</w:t>
      </w:r>
    </w:p>
    <w:sectPr>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Video Abstract — Transcript</dc:title>
  <dc:creator>Dharmansyah et al.</dc:creator>
  <cp:lastModifiedBy>Un-named</cp:lastModifiedBy>
  <cp:revision>1</cp:revision>
  <dcterms:created xsi:type="dcterms:W3CDTF">2026-05-01T06:50:56.168Z</dcterms:created>
  <dcterms:modified xsi:type="dcterms:W3CDTF">2026-05-01T06:50:56.168Z</dcterms:modified>
</cp:coreProperties>
</file>

<file path=docProps/custom.xml><?xml version="1.0" encoding="utf-8"?>
<Properties xmlns="http://schemas.openxmlformats.org/officeDocument/2006/custom-properties" xmlns:vt="http://schemas.openxmlformats.org/officeDocument/2006/docPropsVTypes"/>
</file>