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spacing w:before="120" w:line="360" w:lineRule="auto"/>
        <w:ind w:right="420"/>
        <w:rPr>
          <w:rFonts w:ascii="Arial" w:cs="Arial" w:hAnsi="Arial" w:eastAsia="Arial"/>
          <w:b w:val="1"/>
          <w:bCs w:val="1"/>
          <w:outline w:val="0"/>
          <w:color w:val="005493"/>
          <w:sz w:val="30"/>
          <w:szCs w:val="30"/>
          <w:u w:color="005493"/>
          <w14:textFill>
            <w14:solidFill>
              <w14:srgbClr w14:val="005493"/>
            </w14:solidFill>
          </w14:textFill>
        </w:rPr>
      </w:pPr>
      <w:r>
        <w:rPr>
          <w:rFonts w:ascii="Arial" w:hAnsi="Arial"/>
          <w:b w:val="1"/>
          <w:bCs w:val="1"/>
          <w:outline w:val="0"/>
          <w:color w:val="005493"/>
          <w:sz w:val="30"/>
          <w:szCs w:val="30"/>
          <w:u w:color="005493"/>
          <w:rtl w:val="0"/>
          <w:lang w:val="en-US"/>
          <w14:textFill>
            <w14:solidFill>
              <w14:srgbClr w14:val="005493"/>
            </w14:solidFill>
          </w14:textFill>
        </w:rPr>
        <w:t>S</w:t>
      </w:r>
      <w:r>
        <w:rPr>
          <w:rFonts w:ascii="Arial" w:hAnsi="Arial"/>
          <w:b w:val="1"/>
          <w:bCs w:val="1"/>
          <w:outline w:val="0"/>
          <w:color w:val="005493"/>
          <w:sz w:val="30"/>
          <w:szCs w:val="30"/>
          <w:u w:color="005493"/>
          <w:rtl w:val="0"/>
          <w:lang w:val="it-IT"/>
          <w14:textFill>
            <w14:solidFill>
              <w14:srgbClr w14:val="005493"/>
            </w14:solidFill>
          </w14:textFill>
        </w:rPr>
        <w:t>CRIPT di possibile VIDEO ABSTRACT</w:t>
      </w:r>
    </w:p>
    <w:p>
      <w:pPr>
        <w:pStyle w:val="Default"/>
        <w:spacing w:before="120" w:line="360" w:lineRule="auto"/>
        <w:ind w:right="420"/>
        <w:rPr>
          <w:rFonts w:ascii="Arial" w:cs="Arial" w:hAnsi="Arial" w:eastAsia="Arial"/>
          <w:b w:val="1"/>
          <w:bCs w:val="1"/>
          <w:i w:val="1"/>
          <w:iCs w:val="1"/>
          <w:outline w:val="0"/>
          <w:color w:val="005493"/>
          <w:sz w:val="30"/>
          <w:szCs w:val="30"/>
          <w:u w:color="005493"/>
          <w14:textFill>
            <w14:solidFill>
              <w14:srgbClr w14:val="005493"/>
            </w14:solidFill>
          </w14:textFill>
        </w:rPr>
      </w:pPr>
      <w:r>
        <w:rPr>
          <w:rFonts w:ascii="Arial" w:hAnsi="Arial"/>
          <w:b w:val="1"/>
          <w:bCs w:val="1"/>
          <w:i w:val="1"/>
          <w:iCs w:val="1"/>
          <w:outline w:val="0"/>
          <w:color w:val="005493"/>
          <w:sz w:val="30"/>
          <w:szCs w:val="30"/>
          <w:u w:color="005493"/>
          <w:rtl w:val="0"/>
          <w:lang w:val="it-IT"/>
          <w14:textFill>
            <w14:solidFill>
              <w14:srgbClr w14:val="005493"/>
            </w14:solidFill>
          </w14:textFill>
        </w:rPr>
        <w:t>S</w:t>
      </w:r>
      <w:r>
        <w:rPr>
          <w:rFonts w:ascii="Arial" w:hAnsi="Arial"/>
          <w:b w:val="1"/>
          <w:bCs w:val="1"/>
          <w:i w:val="1"/>
          <w:iCs w:val="1"/>
          <w:outline w:val="0"/>
          <w:color w:val="005493"/>
          <w:sz w:val="30"/>
          <w:szCs w:val="30"/>
          <w:u w:color="005493"/>
          <w:rtl w:val="0"/>
          <w:lang w:val="en-US"/>
          <w14:textFill>
            <w14:solidFill>
              <w14:srgbClr w14:val="005493"/>
            </w14:solidFill>
          </w14:textFill>
        </w:rPr>
        <w:t>tand-alone carboxytherapy followed by consolidation with oral hydrolyzed marine collagen fragments: a po</w:t>
      </w:r>
      <w:r>
        <w:rPr>
          <w:rFonts w:ascii="Arial" w:hAnsi="Arial"/>
          <w:b w:val="1"/>
          <w:bCs w:val="1"/>
          <w:i w:val="1"/>
          <w:iCs w:val="1"/>
          <w:outline w:val="0"/>
          <w:color w:val="005493"/>
          <w:sz w:val="30"/>
          <w:szCs w:val="30"/>
          <w:u w:color="005493"/>
          <w:rtl w:val="0"/>
          <w:lang w:val="it-IT"/>
          <w14:textFill>
            <w14:solidFill>
              <w14:srgbClr w14:val="005493"/>
            </w14:solidFill>
          </w14:textFill>
        </w:rPr>
        <w:t>tential</w:t>
      </w:r>
      <w:r>
        <w:rPr>
          <w:rFonts w:ascii="Arial" w:hAnsi="Arial"/>
          <w:b w:val="1"/>
          <w:bCs w:val="1"/>
          <w:i w:val="1"/>
          <w:iCs w:val="1"/>
          <w:outline w:val="0"/>
          <w:color w:val="005493"/>
          <w:sz w:val="30"/>
          <w:szCs w:val="30"/>
          <w:u w:color="005493"/>
          <w:rtl w:val="0"/>
          <w:lang w:val="en-US"/>
          <w14:textFill>
            <w14:solidFill>
              <w14:srgbClr w14:val="005493"/>
            </w14:solidFill>
          </w14:textFill>
        </w:rPr>
        <w:t xml:space="preserve"> sequential bioregenerative strategy </w:t>
      </w:r>
      <w:r>
        <w:rPr>
          <w:rFonts w:ascii="Arial" w:hAnsi="Arial"/>
          <w:b w:val="1"/>
          <w:bCs w:val="1"/>
          <w:i w:val="1"/>
          <w:iCs w:val="1"/>
          <w:outline w:val="0"/>
          <w:color w:val="005493"/>
          <w:sz w:val="30"/>
          <w:szCs w:val="30"/>
          <w:u w:color="005493"/>
          <w:rtl w:val="0"/>
          <w:lang w:val="it-IT"/>
          <w14:textFill>
            <w14:solidFill>
              <w14:srgbClr w14:val="005493"/>
            </w14:solidFill>
          </w14:textFill>
        </w:rPr>
        <w:t>for</w:t>
      </w:r>
      <w:r>
        <w:rPr>
          <w:rFonts w:ascii="Arial" w:hAnsi="Arial"/>
          <w:b w:val="1"/>
          <w:bCs w:val="1"/>
          <w:i w:val="1"/>
          <w:iCs w:val="1"/>
          <w:outline w:val="0"/>
          <w:color w:val="005493"/>
          <w:sz w:val="30"/>
          <w:szCs w:val="30"/>
          <w:u w:color="005493"/>
          <w:rtl w:val="0"/>
          <w:lang w:val="en-US"/>
          <w14:textFill>
            <w14:solidFill>
              <w14:srgbClr w14:val="005493"/>
            </w14:solidFill>
          </w14:textFill>
        </w:rPr>
        <w:t xml:space="preserve"> hypertrophic scars. </w:t>
      </w:r>
      <w:r>
        <w:rPr>
          <w:rFonts w:ascii="Arial" w:hAnsi="Arial"/>
          <w:b w:val="1"/>
          <w:bCs w:val="1"/>
          <w:i w:val="1"/>
          <w:iCs w:val="1"/>
          <w:outline w:val="0"/>
          <w:color w:val="005493"/>
          <w:sz w:val="30"/>
          <w:szCs w:val="30"/>
          <w:u w:color="005493"/>
          <w:rtl w:val="0"/>
          <w:lang w:val="it-IT"/>
          <w14:textFill>
            <w14:solidFill>
              <w14:srgbClr w14:val="005493"/>
            </w14:solidFill>
          </w14:textFill>
        </w:rPr>
        <w:t>A case report.</w:t>
      </w:r>
    </w:p>
    <w:p>
      <w:pPr>
        <w:pStyle w:val="Default"/>
        <w:spacing w:before="0" w:line="360" w:lineRule="auto"/>
        <w:jc w:val="both"/>
        <w:rPr>
          <w:rFonts w:ascii="Arial" w:cs="Arial" w:hAnsi="Arial" w:eastAsia="Arial"/>
          <w:sz w:val="22"/>
          <w:szCs w:val="22"/>
          <w:lang w:val="it-IT"/>
        </w:rPr>
      </w:pPr>
    </w:p>
    <w:p>
      <w:pPr>
        <w:pStyle w:val="Body A"/>
        <w:jc w:val="both"/>
        <w:rPr>
          <w:rFonts w:ascii="Arial" w:cs="Arial" w:hAnsi="Arial" w:eastAsia="Arial"/>
        </w:rPr>
      </w:pPr>
    </w:p>
    <w:p>
      <w:pPr>
        <w:pStyle w:val="Body A"/>
        <w:numPr>
          <w:ilvl w:val="0"/>
          <w:numId w:val="2"/>
        </w:numPr>
        <w:bidi w:val="0"/>
        <w:spacing w:line="288" w:lineRule="auto"/>
        <w:ind w:right="0"/>
        <w:jc w:val="both"/>
        <w:rPr>
          <w:rFonts w:ascii="Arial" w:hAnsi="Arial"/>
          <w:rtl w:val="0"/>
          <w:lang w:val="it-IT"/>
        </w:rPr>
      </w:pPr>
      <w:r>
        <w:rPr>
          <w:rFonts w:ascii="Arial" w:hAnsi="Arial"/>
          <w:rtl w:val="0"/>
          <w:lang w:val="it-IT"/>
        </w:rPr>
        <w:t xml:space="preserve">The management of postsurgical scars is always a significant challenge for </w:t>
      </w:r>
      <w:r>
        <w:rPr>
          <w:rFonts w:ascii="Arial" w:hAnsi="Arial"/>
          <w:rtl w:val="0"/>
          <w:lang w:val="en-US"/>
        </w:rPr>
        <w:t>aesthetic medicine specialist</w:t>
      </w:r>
      <w:r>
        <w:rPr>
          <w:rFonts w:ascii="Arial" w:hAnsi="Arial"/>
          <w:rtl w:val="0"/>
          <w:lang w:val="it-IT"/>
        </w:rPr>
        <w:t>s</w:t>
      </w:r>
      <w:r>
        <w:rPr>
          <w:rFonts w:ascii="Arial" w:hAnsi="Arial"/>
          <w:rtl w:val="0"/>
          <w:lang w:val="en-US"/>
        </w:rPr>
        <w:t xml:space="preserve"> and aesthetic plastic surgeon</w:t>
      </w:r>
      <w:r>
        <w:rPr>
          <w:rFonts w:ascii="Arial" w:hAnsi="Arial"/>
          <w:rtl w:val="0"/>
          <w:lang w:val="it-IT"/>
        </w:rPr>
        <w:t xml:space="preserve">s. This is especially true for abnormal hypertrophic scars, which </w:t>
      </w:r>
      <w:r>
        <w:rPr>
          <w:rFonts w:ascii="Arial" w:hAnsi="Arial"/>
          <w:rtl w:val="0"/>
          <w:lang w:val="en-US"/>
        </w:rPr>
        <w:t>remain within the original wound</w:t>
      </w:r>
      <w:r>
        <w:rPr>
          <w:rFonts w:ascii="Helvetica Neue" w:hAnsi="Helvetica Neue" w:hint="default"/>
          <w:rtl w:val="1"/>
        </w:rPr>
        <w:t>’</w:t>
      </w:r>
      <w:r>
        <w:rPr>
          <w:rFonts w:ascii="Arial" w:hAnsi="Arial"/>
          <w:rtl w:val="0"/>
          <w:lang w:val="en-US"/>
        </w:rPr>
        <w:t xml:space="preserve">s boundaries, </w:t>
      </w:r>
      <w:r>
        <w:rPr>
          <w:rFonts w:ascii="Arial" w:hAnsi="Arial"/>
          <w:rtl w:val="0"/>
          <w:lang w:val="it-IT"/>
        </w:rPr>
        <w:t xml:space="preserve">and for </w:t>
      </w:r>
      <w:r>
        <w:rPr>
          <w:rFonts w:ascii="Arial" w:hAnsi="Arial"/>
          <w:rtl w:val="0"/>
          <w:lang w:val="en-US"/>
        </w:rPr>
        <w:t xml:space="preserve">disfiguring </w:t>
      </w:r>
      <w:r>
        <w:rPr>
          <w:rFonts w:ascii="Arial" w:hAnsi="Arial"/>
          <w:rtl w:val="0"/>
          <w:lang w:val="it-IT"/>
        </w:rPr>
        <w:t>keloids, which</w:t>
      </w:r>
      <w:r>
        <w:rPr>
          <w:rFonts w:ascii="Arial" w:hAnsi="Arial"/>
          <w:rtl w:val="0"/>
          <w:lang w:val="en-US"/>
        </w:rPr>
        <w:t xml:space="preserve"> </w:t>
      </w:r>
      <w:r>
        <w:rPr>
          <w:rFonts w:ascii="Arial" w:hAnsi="Arial"/>
          <w:rtl w:val="0"/>
          <w:lang w:val="it-IT"/>
        </w:rPr>
        <w:t>extend beyond</w:t>
      </w:r>
      <w:r>
        <w:rPr>
          <w:rFonts w:ascii="Arial" w:hAnsi="Arial"/>
          <w:rtl w:val="0"/>
          <w:lang w:val="en-US"/>
        </w:rPr>
        <w:t xml:space="preserve"> th</w:t>
      </w:r>
      <w:r>
        <w:rPr>
          <w:rFonts w:ascii="Arial" w:hAnsi="Arial"/>
          <w:rtl w:val="0"/>
          <w:lang w:val="it-IT"/>
        </w:rPr>
        <w:t>os</w:t>
      </w:r>
      <w:r>
        <w:rPr>
          <w:rFonts w:ascii="Arial" w:hAnsi="Arial"/>
          <w:rtl w:val="0"/>
          <w:lang w:val="en-US"/>
        </w:rPr>
        <w:t xml:space="preserve">e </w:t>
      </w:r>
      <w:r>
        <w:rPr>
          <w:rFonts w:ascii="Arial" w:hAnsi="Arial"/>
          <w:rtl w:val="0"/>
          <w:lang w:val="it-IT"/>
        </w:rPr>
        <w:t>boundarie</w:t>
      </w:r>
      <w:r>
        <w:rPr>
          <w:rFonts w:ascii="Arial" w:hAnsi="Arial"/>
          <w:rtl w:val="0"/>
          <w:lang w:val="en-US"/>
        </w:rPr>
        <w:t>s</w:t>
      </w:r>
      <w:r>
        <w:rPr>
          <w:rFonts w:ascii="Arial" w:hAnsi="Arial"/>
          <w:rtl w:val="0"/>
          <w:lang w:val="it-IT"/>
        </w:rPr>
        <w:t>.</w:t>
      </w:r>
    </w:p>
    <w:p>
      <w:pPr>
        <w:pStyle w:val="Body A"/>
        <w:spacing w:line="288" w:lineRule="auto"/>
        <w:jc w:val="both"/>
        <w:rPr>
          <w:rFonts w:ascii="Arial" w:cs="Arial" w:hAnsi="Arial" w:eastAsia="Arial"/>
        </w:rPr>
      </w:pPr>
    </w:p>
    <w:p>
      <w:pPr>
        <w:pStyle w:val="Body A"/>
        <w:numPr>
          <w:ilvl w:val="0"/>
          <w:numId w:val="2"/>
        </w:numPr>
        <w:bidi w:val="0"/>
        <w:spacing w:line="288" w:lineRule="auto"/>
        <w:ind w:right="0"/>
        <w:jc w:val="both"/>
        <w:rPr>
          <w:rFonts w:ascii="Arial" w:hAnsi="Arial"/>
          <w:rtl w:val="0"/>
          <w:lang w:val="it-IT"/>
        </w:rPr>
      </w:pPr>
      <w:r>
        <w:rPr>
          <w:rFonts w:ascii="Arial" w:hAnsi="Arial"/>
          <w:rtl w:val="0"/>
          <w:lang w:val="it-IT"/>
        </w:rPr>
        <w:t>C</w:t>
      </w:r>
      <w:r>
        <w:rPr>
          <w:rFonts w:ascii="Arial" w:hAnsi="Arial"/>
          <w:rtl w:val="0"/>
          <w:lang w:val="en-US"/>
        </w:rPr>
        <w:t>arboxytherapy</w:t>
      </w:r>
      <w:r>
        <w:rPr>
          <w:rFonts w:ascii="Arial" w:hAnsi="Arial"/>
          <w:rtl w:val="0"/>
          <w:lang w:val="it-IT"/>
        </w:rPr>
        <w:t xml:space="preserve">, the </w:t>
      </w:r>
      <w:r>
        <w:rPr>
          <w:rFonts w:ascii="Arial" w:hAnsi="Arial"/>
          <w:rtl w:val="0"/>
          <w:lang w:val="en-US"/>
        </w:rPr>
        <w:t>intradermal or subcutaneous administration of medical-grade CO</w:t>
      </w:r>
      <w:r>
        <w:rPr>
          <w:rFonts w:ascii="Arial" w:hAnsi="Arial"/>
          <w:vertAlign w:val="subscript"/>
          <w:rtl w:val="0"/>
        </w:rPr>
        <w:t>2</w:t>
      </w:r>
      <w:r>
        <w:rPr>
          <w:rFonts w:ascii="Arial" w:hAnsi="Arial"/>
          <w:rtl w:val="0"/>
          <w:lang w:val="en-US"/>
        </w:rPr>
        <w:t xml:space="preserve"> via minimally invasive microinjections</w:t>
      </w:r>
      <w:r>
        <w:rPr>
          <w:rFonts w:ascii="Arial" w:hAnsi="Arial"/>
          <w:rtl w:val="0"/>
          <w:lang w:val="it-IT"/>
        </w:rPr>
        <w:t xml:space="preserve">, is a well-recognized regenerative medicine strategy for reducing the aesthetic and psychological burden of scars, including postsurgical scars. </w:t>
      </w:r>
      <w:r>
        <w:rPr>
          <w:rFonts w:ascii="Arial" w:hAnsi="Arial"/>
          <w:rtl w:val="0"/>
          <w:lang w:val="en-US"/>
        </w:rPr>
        <w:t xml:space="preserve">Short-term microcirculatory vasodilation and </w:t>
      </w:r>
      <w:r>
        <w:rPr>
          <w:rFonts w:ascii="Arial" w:hAnsi="Arial"/>
          <w:rtl w:val="0"/>
          <w:lang w:val="it-IT"/>
        </w:rPr>
        <w:t xml:space="preserve">enhanced </w:t>
      </w:r>
      <w:r>
        <w:rPr>
          <w:rFonts w:ascii="Arial" w:hAnsi="Arial"/>
          <w:rtl w:val="0"/>
        </w:rPr>
        <w:t>O</w:t>
      </w:r>
      <w:r>
        <w:rPr>
          <w:rFonts w:ascii="Arial" w:hAnsi="Arial"/>
          <w:vertAlign w:val="subscript"/>
          <w:rtl w:val="0"/>
        </w:rPr>
        <w:t>2</w:t>
      </w:r>
      <w:r>
        <w:rPr>
          <w:rFonts w:ascii="Arial" w:hAnsi="Arial"/>
          <w:rtl w:val="0"/>
        </w:rPr>
        <w:t xml:space="preserve"> </w:t>
      </w:r>
      <w:r>
        <w:rPr>
          <w:rFonts w:ascii="Arial" w:hAnsi="Arial"/>
          <w:rtl w:val="0"/>
          <w:lang w:val="it-IT"/>
        </w:rPr>
        <w:t xml:space="preserve">release from </w:t>
      </w:r>
      <w:r>
        <w:rPr>
          <w:rFonts w:ascii="Arial" w:hAnsi="Arial"/>
          <w:rtl w:val="0"/>
        </w:rPr>
        <w:t xml:space="preserve">hemoglobin </w:t>
      </w:r>
      <w:r>
        <w:rPr>
          <w:rFonts w:ascii="Arial" w:hAnsi="Arial"/>
          <w:rtl w:val="0"/>
          <w:lang w:val="it-IT"/>
        </w:rPr>
        <w:t xml:space="preserve">lead to a </w:t>
      </w:r>
      <w:r>
        <w:rPr>
          <w:rFonts w:ascii="Arial" w:hAnsi="Arial"/>
          <w:rtl w:val="0"/>
          <w:lang w:val="en-US"/>
        </w:rPr>
        <w:t xml:space="preserve">denser microcirculatory network, improved blood flow, preserved fibroblast function, more uniform scar texture, and </w:t>
      </w:r>
      <w:r>
        <w:rPr>
          <w:rFonts w:ascii="Arial" w:hAnsi="Arial"/>
          <w:rtl w:val="0"/>
          <w:lang w:val="it-IT"/>
        </w:rPr>
        <w:t>reduc</w:t>
      </w:r>
      <w:r>
        <w:rPr>
          <w:rFonts w:ascii="Arial" w:hAnsi="Arial"/>
          <w:rtl w:val="0"/>
          <w:lang w:val="en-US"/>
        </w:rPr>
        <w:t>ed local mechanical tension.</w:t>
      </w:r>
    </w:p>
    <w:p>
      <w:pPr>
        <w:pStyle w:val="Body A"/>
        <w:spacing w:line="288" w:lineRule="auto"/>
        <w:jc w:val="both"/>
        <w:rPr>
          <w:rFonts w:ascii="Arial" w:cs="Arial" w:hAnsi="Arial" w:eastAsia="Arial"/>
        </w:rPr>
      </w:pPr>
    </w:p>
    <w:p>
      <w:pPr>
        <w:pStyle w:val="Body A"/>
        <w:numPr>
          <w:ilvl w:val="0"/>
          <w:numId w:val="2"/>
        </w:numPr>
        <w:bidi w:val="0"/>
        <w:spacing w:line="288" w:lineRule="auto"/>
        <w:ind w:right="0"/>
        <w:jc w:val="both"/>
        <w:rPr>
          <w:rFonts w:ascii="Arial" w:hAnsi="Arial"/>
          <w:rtl w:val="0"/>
          <w:lang w:val="it-IT"/>
        </w:rPr>
      </w:pPr>
      <w:r>
        <w:rPr>
          <w:rFonts w:ascii="Arial" w:hAnsi="Arial"/>
          <w:rtl w:val="0"/>
          <w:lang w:val="it-IT"/>
        </w:rPr>
        <w:t>An expanding body of promising preclinical literature on t</w:t>
      </w:r>
      <w:r>
        <w:rPr>
          <w:rFonts w:ascii="Arial" w:hAnsi="Arial"/>
          <w:rtl w:val="0"/>
          <w:lang w:val="en-US"/>
        </w:rPr>
        <w:t>he emerging biorestructurat</w:t>
      </w:r>
      <w:r>
        <w:rPr>
          <w:rFonts w:ascii="Arial" w:hAnsi="Arial"/>
          <w:rtl w:val="0"/>
          <w:lang w:val="it-IT"/>
        </w:rPr>
        <w:t>ion</w:t>
      </w:r>
      <w:r>
        <w:rPr>
          <w:rFonts w:ascii="Arial" w:hAnsi="Arial"/>
          <w:rtl w:val="0"/>
          <w:lang w:val="en-US"/>
        </w:rPr>
        <w:t xml:space="preserve"> properties of orally </w:t>
      </w:r>
      <w:r>
        <w:rPr>
          <w:rFonts w:ascii="Arial" w:hAnsi="Arial"/>
          <w:rtl w:val="0"/>
          <w:lang w:val="it-IT"/>
        </w:rPr>
        <w:t>absorbed</w:t>
      </w:r>
      <w:r>
        <w:rPr>
          <w:rFonts w:ascii="Arial" w:hAnsi="Arial"/>
          <w:rtl w:val="0"/>
          <w:lang w:val="fr-FR"/>
        </w:rPr>
        <w:t xml:space="preserve"> marine collagen fragments </w:t>
      </w:r>
      <w:r>
        <w:rPr>
          <w:rFonts w:ascii="Arial" w:hAnsi="Arial"/>
          <w:rtl w:val="0"/>
          <w:lang w:val="it-IT"/>
        </w:rPr>
        <w:t>suggests that these bioactive collagen fragments might</w:t>
      </w:r>
      <w:r>
        <w:rPr>
          <w:rFonts w:ascii="Arial" w:hAnsi="Arial"/>
          <w:rtl w:val="0"/>
          <w:lang w:val="en-US"/>
        </w:rPr>
        <w:t xml:space="preserve"> also contribute to scar management. </w:t>
      </w:r>
      <w:r>
        <w:rPr>
          <w:rFonts w:ascii="Arial" w:hAnsi="Arial"/>
          <w:rtl w:val="0"/>
          <w:lang w:val="it-IT"/>
        </w:rPr>
        <w:t>Unfortunately,</w:t>
      </w:r>
      <w:r>
        <w:rPr>
          <w:rFonts w:ascii="Arial" w:hAnsi="Arial"/>
          <w:rtl w:val="0"/>
        </w:rPr>
        <w:t xml:space="preserve"> </w:t>
      </w:r>
      <w:r>
        <w:rPr>
          <w:rFonts w:ascii="Arial" w:hAnsi="Arial"/>
          <w:rtl w:val="0"/>
          <w:lang w:val="it-IT"/>
        </w:rPr>
        <w:t>methodologically sound clinical studies</w:t>
      </w:r>
      <w:r>
        <w:rPr>
          <w:rFonts w:ascii="Arial" w:hAnsi="Arial"/>
          <w:rtl w:val="0"/>
        </w:rPr>
        <w:t xml:space="preserve"> </w:t>
      </w:r>
      <w:r>
        <w:rPr>
          <w:rFonts w:ascii="Arial" w:hAnsi="Arial"/>
          <w:rtl w:val="0"/>
          <w:lang w:val="it-IT"/>
        </w:rPr>
        <w:t>are</w:t>
      </w:r>
      <w:r>
        <w:rPr>
          <w:rFonts w:ascii="Arial" w:hAnsi="Arial"/>
          <w:rtl w:val="0"/>
        </w:rPr>
        <w:t xml:space="preserve"> </w:t>
      </w:r>
      <w:r>
        <w:rPr>
          <w:rFonts w:ascii="Arial" w:hAnsi="Arial"/>
          <w:rtl w:val="0"/>
          <w:lang w:val="it-IT"/>
        </w:rPr>
        <w:t>only now being developed.</w:t>
      </w:r>
    </w:p>
    <w:p>
      <w:pPr>
        <w:pStyle w:val="Body A"/>
        <w:spacing w:line="288" w:lineRule="auto"/>
        <w:jc w:val="both"/>
        <w:rPr>
          <w:rFonts w:ascii="Arial" w:cs="Arial" w:hAnsi="Arial" w:eastAsia="Arial"/>
        </w:rPr>
      </w:pPr>
    </w:p>
    <w:p>
      <w:pPr>
        <w:pStyle w:val="Body A"/>
        <w:numPr>
          <w:ilvl w:val="0"/>
          <w:numId w:val="2"/>
        </w:numPr>
        <w:bidi w:val="0"/>
        <w:spacing w:line="288" w:lineRule="auto"/>
        <w:ind w:right="0"/>
        <w:jc w:val="both"/>
        <w:rPr>
          <w:rFonts w:ascii="Arial" w:hAnsi="Arial"/>
          <w:rtl w:val="0"/>
          <w:lang w:val="en-US"/>
        </w:rPr>
      </w:pPr>
      <w:r>
        <w:rPr>
          <w:rFonts w:ascii="Arial" w:hAnsi="Arial"/>
          <w:rtl w:val="0"/>
          <w:lang w:val="en-US"/>
        </w:rPr>
        <w:t xml:space="preserve">Hydrolyzed marine collagen </w:t>
      </w:r>
      <w:r>
        <w:rPr>
          <w:rFonts w:ascii="Arial" w:hAnsi="Arial"/>
          <w:rtl w:val="0"/>
          <w:lang w:val="it-IT"/>
        </w:rPr>
        <w:t>is</w:t>
      </w:r>
      <w:r>
        <w:rPr>
          <w:rFonts w:ascii="Arial" w:hAnsi="Arial"/>
          <w:rtl w:val="0"/>
          <w:lang w:val="en-US"/>
        </w:rPr>
        <w:t xml:space="preserve"> likely</w:t>
      </w:r>
      <w:r>
        <w:rPr>
          <w:rFonts w:ascii="Arial" w:hAnsi="Arial"/>
          <w:rtl w:val="0"/>
          <w:lang w:val="it-IT"/>
        </w:rPr>
        <w:t xml:space="preserve"> to</w:t>
      </w:r>
      <w:r>
        <w:rPr>
          <w:rFonts w:ascii="Arial" w:hAnsi="Arial"/>
          <w:rtl w:val="0"/>
          <w:lang w:val="en-US"/>
        </w:rPr>
        <w:t xml:space="preserve"> mimic the physiological effects of collagen breakdown oligopeptides, known as matrikines, </w:t>
      </w:r>
      <w:r>
        <w:rPr>
          <w:rFonts w:ascii="Arial" w:hAnsi="Arial"/>
          <w:rtl w:val="0"/>
          <w:lang w:val="it-IT"/>
        </w:rPr>
        <w:t xml:space="preserve">on </w:t>
      </w:r>
      <w:r>
        <w:rPr>
          <w:rFonts w:ascii="Arial" w:hAnsi="Arial"/>
          <w:rtl w:val="0"/>
        </w:rPr>
        <w:t>fibroblasts</w:t>
      </w:r>
      <w:r>
        <w:rPr>
          <w:rFonts w:ascii="Arial" w:hAnsi="Arial"/>
          <w:rtl w:val="0"/>
          <w:lang w:val="it-IT"/>
        </w:rPr>
        <w:t>. These</w:t>
      </w:r>
      <w:r>
        <w:rPr>
          <w:rFonts w:ascii="Arial" w:hAnsi="Arial"/>
          <w:rtl w:val="0"/>
          <w:lang w:val="en-US"/>
        </w:rPr>
        <w:t xml:space="preserve"> oligopeptides are released in the dermis and subdermal tissues at the end of the matrix collagen lifecycle</w:t>
      </w:r>
      <w:r>
        <w:rPr>
          <w:rFonts w:ascii="Arial" w:hAnsi="Arial"/>
          <w:rtl w:val="0"/>
          <w:lang w:val="it-IT"/>
        </w:rPr>
        <w:t>. Several marine collagen fragments are identical to collagen breakdown matrikines</w:t>
      </w:r>
      <w:r>
        <w:rPr>
          <w:rFonts w:ascii="Arial" w:hAnsi="Arial"/>
          <w:rtl w:val="0"/>
        </w:rPr>
        <w:t>.</w:t>
      </w:r>
    </w:p>
    <w:p>
      <w:pPr>
        <w:pStyle w:val="Body A"/>
        <w:spacing w:line="288" w:lineRule="auto"/>
        <w:jc w:val="both"/>
        <w:rPr>
          <w:rFonts w:ascii="Arial" w:cs="Arial" w:hAnsi="Arial" w:eastAsia="Arial"/>
        </w:rPr>
      </w:pPr>
    </w:p>
    <w:p>
      <w:pPr>
        <w:pStyle w:val="Body A"/>
        <w:numPr>
          <w:ilvl w:val="0"/>
          <w:numId w:val="2"/>
        </w:numPr>
        <w:bidi w:val="0"/>
        <w:spacing w:line="288" w:lineRule="auto"/>
        <w:ind w:right="0"/>
        <w:jc w:val="both"/>
        <w:rPr>
          <w:rFonts w:ascii="Arial" w:hAnsi="Arial"/>
          <w:rtl w:val="0"/>
          <w:lang w:val="it-IT"/>
        </w:rPr>
      </w:pPr>
      <w:r>
        <w:rPr>
          <w:rFonts w:ascii="Arial" w:hAnsi="Arial"/>
          <w:rtl w:val="0"/>
          <w:lang w:val="it-IT"/>
        </w:rPr>
        <w:t xml:space="preserve">The authors tested, for the first time, </w:t>
      </w:r>
      <w:r>
        <w:rPr>
          <w:rFonts w:ascii="Arial" w:hAnsi="Arial"/>
          <w:rtl w:val="0"/>
          <w:lang w:val="en-US"/>
        </w:rPr>
        <w:t xml:space="preserve">an innovative regenerative treatment strategy that sequentially combines carboxytherapy with long-term </w:t>
      </w:r>
      <w:r>
        <w:rPr>
          <w:rFonts w:ascii="Arial" w:hAnsi="Arial"/>
          <w:rtl w:val="0"/>
          <w:lang w:val="it-IT"/>
        </w:rPr>
        <w:t>h</w:t>
      </w:r>
      <w:r>
        <w:rPr>
          <w:rFonts w:ascii="Arial" w:hAnsi="Arial"/>
          <w:rtl w:val="0"/>
          <w:lang w:val="en-US"/>
        </w:rPr>
        <w:t>ydrolyzed marine collagen</w:t>
      </w:r>
      <w:r>
        <w:rPr>
          <w:rFonts w:ascii="Arial" w:hAnsi="Arial"/>
          <w:rtl w:val="0"/>
          <w:lang w:val="it-IT"/>
        </w:rPr>
        <w:t xml:space="preserve"> </w:t>
      </w:r>
      <w:r>
        <w:rPr>
          <w:rFonts w:ascii="Arial" w:hAnsi="Arial"/>
          <w:rtl w:val="0"/>
          <w:lang w:val="en-US"/>
        </w:rPr>
        <w:t>supplementation</w:t>
      </w:r>
      <w:r>
        <w:rPr>
          <w:rFonts w:ascii="Arial" w:hAnsi="Arial"/>
          <w:rtl w:val="0"/>
          <w:lang w:val="it-IT"/>
        </w:rPr>
        <w:t>.</w:t>
      </w:r>
    </w:p>
    <w:p>
      <w:pPr>
        <w:pStyle w:val="Body A"/>
        <w:spacing w:line="288" w:lineRule="auto"/>
        <w:jc w:val="both"/>
        <w:rPr>
          <w:rFonts w:ascii="Arial" w:cs="Arial" w:hAnsi="Arial" w:eastAsia="Arial"/>
        </w:rPr>
      </w:pPr>
    </w:p>
    <w:p>
      <w:pPr>
        <w:pStyle w:val="Body A"/>
        <w:numPr>
          <w:ilvl w:val="0"/>
          <w:numId w:val="2"/>
        </w:numPr>
        <w:bidi w:val="0"/>
        <w:spacing w:line="288" w:lineRule="auto"/>
        <w:ind w:right="0"/>
        <w:jc w:val="both"/>
        <w:rPr>
          <w:rFonts w:ascii="Arial" w:hAnsi="Arial"/>
          <w:rtl w:val="0"/>
          <w:lang w:val="it-IT"/>
        </w:rPr>
      </w:pPr>
      <w:r>
        <w:rPr>
          <w:rFonts w:ascii="Arial" w:hAnsi="Arial"/>
          <w:rtl w:val="0"/>
          <w:lang w:val="it-IT"/>
        </w:rPr>
        <w:t xml:space="preserve">The provisional outcomes of this innovative treatment strategy in a </w:t>
      </w:r>
      <w:r>
        <w:rPr>
          <w:rFonts w:ascii="Arial" w:hAnsi="Arial"/>
          <w:rtl w:val="0"/>
          <w:lang w:val="en-US"/>
        </w:rPr>
        <w:t xml:space="preserve">56-year-old woman </w:t>
      </w:r>
      <w:r>
        <w:rPr>
          <w:rFonts w:ascii="Arial" w:hAnsi="Arial"/>
          <w:rtl w:val="0"/>
          <w:lang w:val="it-IT"/>
        </w:rPr>
        <w:t xml:space="preserve">who </w:t>
      </w:r>
      <w:r>
        <w:rPr>
          <w:rFonts w:ascii="Arial" w:hAnsi="Arial"/>
          <w:rtl w:val="0"/>
          <w:lang w:val="en-US"/>
        </w:rPr>
        <w:t xml:space="preserve">sought </w:t>
      </w:r>
      <w:r>
        <w:rPr>
          <w:rFonts w:ascii="Arial" w:hAnsi="Arial"/>
          <w:rtl w:val="0"/>
          <w:lang w:val="it-IT"/>
        </w:rPr>
        <w:t>help</w:t>
      </w:r>
      <w:r>
        <w:rPr>
          <w:rFonts w:ascii="Arial" w:hAnsi="Arial"/>
          <w:rtl w:val="0"/>
          <w:lang w:val="en-US"/>
        </w:rPr>
        <w:t xml:space="preserve"> in mid-March 2024</w:t>
      </w:r>
      <w:r>
        <w:rPr>
          <w:rFonts w:ascii="Arial" w:hAnsi="Arial"/>
          <w:rtl w:val="0"/>
          <w:lang w:val="it-IT"/>
        </w:rPr>
        <w:t>, while</w:t>
      </w:r>
      <w:r>
        <w:rPr>
          <w:rFonts w:ascii="Arial" w:hAnsi="Arial"/>
          <w:rtl w:val="0"/>
        </w:rPr>
        <w:t xml:space="preserve"> </w:t>
      </w:r>
      <w:r>
        <w:rPr>
          <w:rFonts w:ascii="Arial" w:hAnsi="Arial"/>
          <w:rtl w:val="0"/>
          <w:lang w:val="it-IT"/>
        </w:rPr>
        <w:t>avoiding</w:t>
      </w:r>
      <w:r>
        <w:rPr>
          <w:rFonts w:ascii="Arial" w:hAnsi="Arial"/>
          <w:rtl w:val="0"/>
          <w:lang w:val="fr-FR"/>
        </w:rPr>
        <w:t xml:space="preserve"> ablative techniques, for a</w:t>
      </w:r>
      <w:r>
        <w:rPr>
          <w:rFonts w:ascii="Arial" w:hAnsi="Arial"/>
          <w:rtl w:val="0"/>
          <w:lang w:val="it-IT"/>
        </w:rPr>
        <w:t xml:space="preserve"> disfiguring,</w:t>
      </w:r>
      <w:r>
        <w:rPr>
          <w:rFonts w:ascii="Arial" w:hAnsi="Arial"/>
          <w:rtl w:val="0"/>
          <w:lang w:val="en-US"/>
        </w:rPr>
        <w:t xml:space="preserve"> star-shaped</w:t>
      </w:r>
      <w:r>
        <w:rPr>
          <w:rFonts w:ascii="Arial" w:hAnsi="Arial"/>
          <w:rtl w:val="0"/>
          <w:lang w:val="it-IT"/>
        </w:rPr>
        <w:t>,</w:t>
      </w:r>
      <w:r>
        <w:rPr>
          <w:rFonts w:ascii="Arial" w:hAnsi="Arial"/>
          <w:rtl w:val="0"/>
          <w:lang w:val="en-US"/>
        </w:rPr>
        <w:t xml:space="preserve"> hypertrophic, partially retracted, and mildly pruritic</w:t>
      </w:r>
      <w:r>
        <w:rPr>
          <w:rFonts w:ascii="Arial" w:hAnsi="Arial"/>
          <w:rtl w:val="0"/>
          <w:lang w:val="it-IT"/>
        </w:rPr>
        <w:t xml:space="preserve"> </w:t>
      </w:r>
      <w:r>
        <w:rPr>
          <w:rFonts w:ascii="Arial" w:hAnsi="Arial"/>
          <w:rtl w:val="0"/>
          <w:lang w:val="en-US"/>
        </w:rPr>
        <w:t>scar measuring approximately 6 cm in the nasojugal area at the level of the right nasal wing.</w:t>
      </w:r>
      <w:r>
        <w:rPr>
          <w:rFonts w:ascii="Arial" w:hAnsi="Arial"/>
          <w:rtl w:val="0"/>
          <w:lang w:val="it-IT"/>
        </w:rPr>
        <w:t xml:space="preserve"> The scar followed </w:t>
      </w:r>
      <w:r>
        <w:rPr>
          <w:rFonts w:ascii="Arial" w:hAnsi="Arial"/>
          <w:rtl w:val="0"/>
          <w:lang w:val="it-IT"/>
        </w:rPr>
        <w:t xml:space="preserve">the </w:t>
      </w:r>
      <w:r>
        <w:rPr>
          <w:rFonts w:ascii="Arial" w:hAnsi="Arial"/>
          <w:rtl w:val="0"/>
          <w:lang w:val="it-IT"/>
        </w:rPr>
        <w:t>surgical removal of a basal cell carcinoma. However notable, the current outcomes are provisional because the woman completed only her first at-home cycle of oral bioactive supplementation.</w:t>
      </w:r>
    </w:p>
    <w:p>
      <w:pPr>
        <w:pStyle w:val="Body A"/>
        <w:spacing w:line="288" w:lineRule="auto"/>
        <w:jc w:val="both"/>
        <w:rPr>
          <w:rFonts w:ascii="Arial" w:cs="Arial" w:hAnsi="Arial" w:eastAsia="Arial"/>
        </w:rPr>
      </w:pPr>
    </w:p>
    <w:p>
      <w:pPr>
        <w:pStyle w:val="Body A"/>
        <w:numPr>
          <w:ilvl w:val="0"/>
          <w:numId w:val="2"/>
        </w:numPr>
        <w:bidi w:val="0"/>
        <w:spacing w:line="288" w:lineRule="auto"/>
        <w:ind w:right="0"/>
        <w:jc w:val="both"/>
        <w:rPr>
          <w:rFonts w:ascii="Arial" w:hAnsi="Arial"/>
          <w:rtl w:val="0"/>
          <w:lang w:val="it-IT"/>
        </w:rPr>
      </w:pPr>
      <w:r>
        <w:rPr>
          <w:rFonts w:ascii="Arial" w:hAnsi="Arial"/>
          <w:rtl w:val="0"/>
          <w:lang w:val="it-IT"/>
        </w:rPr>
        <w:t xml:space="preserve">After a </w:t>
      </w:r>
      <w:r>
        <w:rPr>
          <w:rFonts w:ascii="Arial" w:hAnsi="Arial"/>
          <w:rtl w:val="0"/>
          <w:lang w:val="en-US"/>
        </w:rPr>
        <w:t>mid-March baseline assessment</w:t>
      </w:r>
      <w:r>
        <w:rPr>
          <w:rFonts w:ascii="Arial" w:hAnsi="Arial"/>
          <w:rtl w:val="0"/>
          <w:lang w:val="it-IT"/>
        </w:rPr>
        <w:t xml:space="preserve"> and preparation for carboxytherapy, the woman underwent a </w:t>
      </w:r>
      <w:r>
        <w:rPr>
          <w:rFonts w:ascii="Arial" w:hAnsi="Arial"/>
          <w:rtl w:val="0"/>
          <w:lang w:val="fr-FR"/>
        </w:rPr>
        <w:t>six-session</w:t>
      </w:r>
      <w:r>
        <w:rPr>
          <w:rFonts w:ascii="Arial" w:hAnsi="Arial"/>
          <w:rtl w:val="0"/>
          <w:lang w:val="it-IT"/>
        </w:rPr>
        <w:t xml:space="preserve"> carboxytherapy cycle on </w:t>
      </w:r>
      <w:r>
        <w:rPr>
          <w:rFonts w:ascii="Arial" w:hAnsi="Arial"/>
          <w:rtl w:val="0"/>
          <w:lang w:val="en-US"/>
        </w:rPr>
        <w:t>October 10, 2024</w:t>
      </w:r>
      <w:r>
        <w:rPr>
          <w:rFonts w:ascii="Arial" w:hAnsi="Arial"/>
          <w:rtl w:val="0"/>
          <w:lang w:val="it-IT"/>
        </w:rPr>
        <w:t>, with steady, notable improvement in the appearance of the disfiguring scar through the final session. Progress was monitored using Antera 3D</w:t>
      </w:r>
      <w:r>
        <w:rPr>
          <w:rFonts w:ascii="Arial" w:hAnsi="Arial" w:hint="default"/>
          <w:vertAlign w:val="superscript"/>
          <w:rtl w:val="0"/>
          <w:lang w:val="it-IT"/>
        </w:rPr>
        <w:t>®</w:t>
      </w:r>
      <w:r>
        <w:rPr>
          <w:rFonts w:ascii="Arial" w:hAnsi="Arial"/>
          <w:rtl w:val="0"/>
          <w:lang w:val="it-IT"/>
        </w:rPr>
        <w:t xml:space="preserve"> </w:t>
      </w:r>
      <w:r>
        <w:rPr>
          <w:rFonts w:ascii="Arial" w:hAnsi="Arial"/>
          <w:rtl w:val="0"/>
          <w:lang w:val="en-US"/>
        </w:rPr>
        <w:t xml:space="preserve">digital three-dimensional </w:t>
      </w:r>
      <w:r>
        <w:rPr>
          <w:rFonts w:ascii="Arial" w:hAnsi="Arial"/>
          <w:rtl w:val="0"/>
          <w:lang w:val="it-IT"/>
        </w:rPr>
        <w:t>skin analysis</w:t>
      </w:r>
      <w:r>
        <w:rPr>
          <w:rFonts w:ascii="Arial" w:hAnsi="Arial"/>
          <w:rtl w:val="0"/>
        </w:rPr>
        <w:t xml:space="preserve"> </w:t>
      </w:r>
      <w:r>
        <w:rPr>
          <w:rFonts w:ascii="Arial" w:hAnsi="Arial"/>
          <w:rtl w:val="0"/>
          <w:lang w:val="it-IT"/>
        </w:rPr>
        <w:t xml:space="preserve">and the </w:t>
      </w:r>
      <w:r>
        <w:rPr>
          <w:rFonts w:ascii="Arial" w:hAnsi="Arial"/>
          <w:rtl w:val="0"/>
          <w:lang w:val="en-US"/>
        </w:rPr>
        <w:t>Patient and Observer Scar Assessment Scale (POSAS)</w:t>
      </w:r>
      <w:r>
        <w:rPr>
          <w:rFonts w:ascii="Arial" w:hAnsi="Arial"/>
          <w:rtl w:val="0"/>
          <w:lang w:val="it-IT"/>
        </w:rPr>
        <w:t>.</w:t>
      </w:r>
    </w:p>
    <w:p>
      <w:pPr>
        <w:pStyle w:val="Body A"/>
        <w:bidi w:val="0"/>
        <w:spacing w:line="288" w:lineRule="auto"/>
        <w:ind w:left="0" w:right="0" w:firstLine="0"/>
        <w:jc w:val="both"/>
        <w:rPr>
          <w:rFonts w:ascii="Arial" w:cs="Arial" w:hAnsi="Arial" w:eastAsia="Arial"/>
          <w:rtl w:val="0"/>
          <w:lang w:val="it-IT"/>
        </w:rPr>
      </w:pPr>
    </w:p>
    <w:p>
      <w:pPr>
        <w:pStyle w:val="Body A"/>
        <w:numPr>
          <w:ilvl w:val="0"/>
          <w:numId w:val="2"/>
        </w:numPr>
        <w:bidi w:val="0"/>
        <w:spacing w:line="288" w:lineRule="auto"/>
        <w:ind w:right="0"/>
        <w:jc w:val="both"/>
        <w:rPr>
          <w:rFonts w:ascii="Arial" w:hAnsi="Arial"/>
          <w:rtl w:val="0"/>
          <w:lang w:val="it-IT"/>
        </w:rPr>
      </w:pPr>
      <w:r>
        <w:rPr>
          <w:rFonts w:ascii="Arial" w:hAnsi="Arial"/>
          <w:rtl w:val="0"/>
          <w:lang w:val="it-IT"/>
        </w:rPr>
        <w:t>A single injection of a highly flexible hyaluronic acid, administered at the end of the carboxytherapy cycle, may have confounded the early outcomes of marine collagen fragment supplementation. It might be too early to determine the true value of the bioactive fragment supplementation, and more time may be warranted.</w:t>
      </w:r>
    </w:p>
    <w:p>
      <w:pPr>
        <w:pStyle w:val="Body A"/>
        <w:spacing w:line="288" w:lineRule="auto"/>
        <w:jc w:val="both"/>
        <w:rPr>
          <w:rFonts w:ascii="Arial" w:cs="Arial" w:hAnsi="Arial" w:eastAsia="Arial"/>
        </w:rPr>
      </w:pPr>
    </w:p>
    <w:p>
      <w:pPr>
        <w:pStyle w:val="Body A"/>
        <w:numPr>
          <w:ilvl w:val="0"/>
          <w:numId w:val="2"/>
        </w:numPr>
        <w:bidi w:val="0"/>
        <w:spacing w:line="288" w:lineRule="auto"/>
        <w:ind w:right="0"/>
        <w:jc w:val="both"/>
        <w:rPr>
          <w:rFonts w:ascii="Arial" w:hAnsi="Arial"/>
          <w:rtl w:val="0"/>
          <w:lang w:val="it-IT"/>
        </w:rPr>
      </w:pPr>
      <w:r>
        <w:rPr>
          <w:rFonts w:ascii="Arial" w:hAnsi="Arial"/>
          <w:rtl w:val="0"/>
          <w:lang w:val="it-IT"/>
        </w:rPr>
        <w:t xml:space="preserve">At this stage of research, our experience with a single patient treated with sequential carboxytherapy and hydrolyzed marine collagen supplementation to consolidate carboxytherapy outcomes is considered </w:t>
      </w:r>
      <w:r>
        <w:rPr>
          <w:rFonts w:ascii="Arial" w:hAnsi="Arial"/>
          <w:rtl w:val="0"/>
          <w:lang w:val="en-US"/>
        </w:rPr>
        <w:t>hypothesis-generating</w:t>
      </w:r>
      <w:r>
        <w:rPr>
          <w:rFonts w:ascii="Arial" w:hAnsi="Arial"/>
          <w:rtl w:val="0"/>
          <w:lang w:val="it-IT"/>
        </w:rPr>
        <w:t>. M</w:t>
      </w:r>
      <w:r>
        <w:rPr>
          <w:rFonts w:ascii="Arial" w:hAnsi="Arial"/>
          <w:rtl w:val="0"/>
          <w:lang w:val="en-US"/>
        </w:rPr>
        <w:t xml:space="preserve">ore definitive conclusions must await </w:t>
      </w:r>
      <w:r>
        <w:rPr>
          <w:rFonts w:ascii="Arial" w:hAnsi="Arial"/>
          <w:rtl w:val="0"/>
          <w:lang w:val="it-IT"/>
        </w:rPr>
        <w:t xml:space="preserve">additional time and </w:t>
      </w:r>
      <w:r>
        <w:rPr>
          <w:rFonts w:ascii="Arial" w:hAnsi="Arial"/>
          <w:rtl w:val="0"/>
          <w:lang w:val="en-US"/>
        </w:rPr>
        <w:t>the results of well-designed, randomized, controlled prospective clinical studies, some of which are already underway.</w:t>
      </w:r>
      <w:r>
        <w:rPr>
          <w:rFonts w:ascii="Arial" w:cs="Arial" w:hAnsi="Arial" w:eastAsia="Arial"/>
        </w:rPr>
      </w:r>
    </w:p>
    <w:sectPr>
      <w:headerReference w:type="default" r:id="rId4"/>
      <w:footerReference w:type="default" r:id="rId5"/>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Big"/>
  </w:abstractNum>
  <w:abstractNum w:abstractNumId="1">
    <w:multiLevelType w:val="hybridMultilevel"/>
    <w:styleLink w:val="Bullet Big"/>
    <w:lvl w:ilvl="0">
      <w:start w:val="1"/>
      <w:numFmt w:val="bullet"/>
      <w:suff w:val="tab"/>
      <w:lvlText w:val="•"/>
      <w:lvlJc w:val="left"/>
      <w:pPr>
        <w:ind w:left="24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start w:val="1"/>
      <w:numFmt w:val="bullet"/>
      <w:suff w:val="tab"/>
      <w:lvlText w:val="•"/>
      <w:lvlJc w:val="left"/>
      <w:pPr>
        <w:ind w:left="48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start w:val="1"/>
      <w:numFmt w:val="bullet"/>
      <w:suff w:val="tab"/>
      <w:lvlText w:val="•"/>
      <w:lvlJc w:val="left"/>
      <w:pPr>
        <w:ind w:left="72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start w:val="1"/>
      <w:numFmt w:val="bullet"/>
      <w:suff w:val="tab"/>
      <w:lvlText w:val="•"/>
      <w:lvlJc w:val="left"/>
      <w:pPr>
        <w:ind w:left="96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start w:val="1"/>
      <w:numFmt w:val="bullet"/>
      <w:suff w:val="tab"/>
      <w:lvlText w:val="•"/>
      <w:lvlJc w:val="left"/>
      <w:pPr>
        <w:ind w:left="120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start w:val="1"/>
      <w:numFmt w:val="bullet"/>
      <w:suff w:val="tab"/>
      <w:lvlText w:val="•"/>
      <w:lvlJc w:val="left"/>
      <w:pPr>
        <w:ind w:left="144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start w:val="1"/>
      <w:numFmt w:val="bullet"/>
      <w:suff w:val="tab"/>
      <w:lvlText w:val="•"/>
      <w:lvlJc w:val="left"/>
      <w:pPr>
        <w:ind w:left="168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start w:val="1"/>
      <w:numFmt w:val="bullet"/>
      <w:suff w:val="tab"/>
      <w:lvlText w:val="•"/>
      <w:lvlJc w:val="left"/>
      <w:pPr>
        <w:ind w:left="192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start w:val="1"/>
      <w:numFmt w:val="bullet"/>
      <w:suff w:val="tab"/>
      <w:lvlText w:val="•"/>
      <w:lvlJc w:val="left"/>
      <w:pPr>
        <w:ind w:left="2160" w:hanging="240"/>
      </w:pPr>
      <w:rPr>
        <w:rFonts w:ascii="Arial" w:cs="Arial" w:hAnsi="Arial" w:eastAsia="Arial"/>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style>
  <w:style w:type="numbering" w:styleId="Bullet Big">
    <w:name w:val="Bullet Big"/>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