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C17A4" w14:textId="18506A41" w:rsidR="0050161B" w:rsidRPr="00A56463" w:rsidRDefault="0050161B" w:rsidP="0050161B">
      <w:r w:rsidRPr="00A56463">
        <w:t xml:space="preserve">In our review, </w:t>
      </w:r>
      <w:r w:rsidRPr="00A56463">
        <w:rPr>
          <w:i/>
          <w:iCs/>
        </w:rPr>
        <w:t>“Perspectives on Pain: A Narrative Review of Pain Beliefs, Coping, and Clinical Implications</w:t>
      </w:r>
      <w:r w:rsidR="0007638B" w:rsidRPr="00A56463">
        <w:rPr>
          <w:i/>
          <w:iCs/>
        </w:rPr>
        <w:t>,”</w:t>
      </w:r>
      <w:r w:rsidR="0007638B" w:rsidRPr="00A56463">
        <w:t xml:space="preserve"> published</w:t>
      </w:r>
      <w:r w:rsidRPr="00A56463">
        <w:t xml:space="preserve"> in the </w:t>
      </w:r>
      <w:r w:rsidRPr="00A56463">
        <w:rPr>
          <w:i/>
          <w:iCs/>
        </w:rPr>
        <w:t>Journal of Pain Research</w:t>
      </w:r>
      <w:r w:rsidR="00075BA9" w:rsidRPr="00A56463">
        <w:t xml:space="preserve">, </w:t>
      </w:r>
      <w:r w:rsidRPr="00A56463">
        <w:t>we examine how pain beliefs shape patient outcomes across conditions.</w:t>
      </w:r>
    </w:p>
    <w:p w14:paraId="1B655E39" w14:textId="4BA16A18" w:rsidR="0050161B" w:rsidRPr="00A56463" w:rsidRDefault="0050161B" w:rsidP="0050161B">
      <w:r w:rsidRPr="00A56463">
        <w:t>Pain is often approached as a biological problem</w:t>
      </w:r>
      <w:r w:rsidR="00075BA9" w:rsidRPr="00A56463">
        <w:t xml:space="preserve">, </w:t>
      </w:r>
      <w:r w:rsidRPr="00A56463">
        <w:t xml:space="preserve">but in this review, we highlight that </w:t>
      </w:r>
      <w:r w:rsidR="00F325D4" w:rsidRPr="00A56463">
        <w:t>how</w:t>
      </w:r>
      <w:r w:rsidRPr="00A56463">
        <w:t xml:space="preserve"> patients understand their pain plays a central role in how they experience it and respond to care.</w:t>
      </w:r>
      <w:r w:rsidR="00E1593C" w:rsidRPr="00A56463">
        <w:t xml:space="preserve"> </w:t>
      </w:r>
      <w:r w:rsidRPr="00A56463">
        <w:t>We synthesize evidence across neuropathic, nociplastic, and nociceptive pain to examine how beliefs</w:t>
      </w:r>
      <w:r w:rsidR="00075BA9" w:rsidRPr="00A56463">
        <w:t xml:space="preserve">, </w:t>
      </w:r>
      <w:r w:rsidRPr="00A56463">
        <w:t>such as catastrophizing, fear-avoidance, and self-efficacy</w:t>
      </w:r>
      <w:r w:rsidR="00075BA9" w:rsidRPr="00A56463">
        <w:t xml:space="preserve">, </w:t>
      </w:r>
      <w:r w:rsidRPr="00A56463">
        <w:t>shape coping behaviors, treatment adherence, and outcomes.</w:t>
      </w:r>
    </w:p>
    <w:p w14:paraId="13D9B24D" w14:textId="7E77D598" w:rsidR="0050161B" w:rsidRPr="00A56463" w:rsidRDefault="0050161B" w:rsidP="0050161B">
      <w:r w:rsidRPr="00A56463">
        <w:t xml:space="preserve">We frame this work through the </w:t>
      </w:r>
      <w:proofErr w:type="gramStart"/>
      <w:r w:rsidRPr="00A56463">
        <w:t>Common Sense</w:t>
      </w:r>
      <w:proofErr w:type="gramEnd"/>
      <w:r w:rsidRPr="00A56463">
        <w:t xml:space="preserve"> Model of Illness, which describes how patients form beliefs about their condition</w:t>
      </w:r>
      <w:r w:rsidR="00075BA9" w:rsidRPr="00A56463">
        <w:t xml:space="preserve">, </w:t>
      </w:r>
      <w:r w:rsidRPr="00A56463">
        <w:t>such as its cause, duration, and controllability</w:t>
      </w:r>
      <w:r w:rsidR="00075BA9" w:rsidRPr="00A56463">
        <w:t xml:space="preserve">, </w:t>
      </w:r>
      <w:r w:rsidRPr="00A56463">
        <w:t>and how those beliefs guide coping behaviors over time.</w:t>
      </w:r>
      <w:r w:rsidR="00E1593C" w:rsidRPr="00A56463">
        <w:t xml:space="preserve"> </w:t>
      </w:r>
      <w:r w:rsidRPr="00A56463">
        <w:t>One key contribution of this review is demonstrating that these belief-driven patterns are consistent across pain types, suggesting they are not limited to a single condition.</w:t>
      </w:r>
    </w:p>
    <w:p w14:paraId="2199F217" w14:textId="77777777" w:rsidR="0050161B" w:rsidRPr="00A56463" w:rsidRDefault="0050161B" w:rsidP="0050161B">
      <w:r w:rsidRPr="00A56463">
        <w:t>We also integrate neurobiological evidence, showing that pain beliefs are associated with activity in prefrontal, limbic, and descending modulatory systems, supporting the role of top-down processes in shaping pain experience.</w:t>
      </w:r>
    </w:p>
    <w:p w14:paraId="29E92616" w14:textId="55742B4F" w:rsidR="0050161B" w:rsidRPr="00A56463" w:rsidRDefault="0050161B" w:rsidP="0050161B">
      <w:r w:rsidRPr="00A56463">
        <w:t>Beyond individual cognition, we examine contextual influences</w:t>
      </w:r>
      <w:r w:rsidR="00075BA9" w:rsidRPr="00A56463">
        <w:t xml:space="preserve">, </w:t>
      </w:r>
      <w:r w:rsidRPr="00A56463">
        <w:t>including race, socioeconomic status, health literacy, and cultural factors</w:t>
      </w:r>
      <w:r w:rsidR="00075BA9" w:rsidRPr="00A56463">
        <w:t xml:space="preserve">, </w:t>
      </w:r>
      <w:r w:rsidRPr="00A56463">
        <w:t>which shape how pain is interpreted and how patients engage with care.</w:t>
      </w:r>
    </w:p>
    <w:p w14:paraId="371E15A4" w14:textId="0771CBA2" w:rsidR="0050161B" w:rsidRPr="00A56463" w:rsidRDefault="0050161B" w:rsidP="0050161B">
      <w:r w:rsidRPr="00A56463">
        <w:t>From a clinical perspective, we highlight existing assessment tools for pain beliefs and coping strategies.</w:t>
      </w:r>
      <w:r w:rsidR="00E1593C" w:rsidRPr="00A56463">
        <w:t xml:space="preserve"> </w:t>
      </w:r>
      <w:r w:rsidRPr="00A56463">
        <w:t xml:space="preserve">While many tools exist, they often measure isolated </w:t>
      </w:r>
      <w:proofErr w:type="gramStart"/>
      <w:r w:rsidRPr="00A56463">
        <w:t>constructs</w:t>
      </w:r>
      <w:proofErr w:type="gramEnd"/>
      <w:r w:rsidRPr="00A56463">
        <w:t xml:space="preserve">, rather than capturing the broader, multidimensional experience described by the </w:t>
      </w:r>
      <w:proofErr w:type="gramStart"/>
      <w:r w:rsidRPr="00A56463">
        <w:t>Common Sense</w:t>
      </w:r>
      <w:proofErr w:type="gramEnd"/>
      <w:r w:rsidRPr="00A56463">
        <w:t xml:space="preserve"> Model.</w:t>
      </w:r>
      <w:r w:rsidR="00E1593C" w:rsidRPr="00A56463">
        <w:t xml:space="preserve"> </w:t>
      </w:r>
      <w:r w:rsidRPr="00A56463">
        <w:t>This reflects an important gap, as pain belief systems are not consistently assessed, despite their association with patient outcomes.</w:t>
      </w:r>
    </w:p>
    <w:p w14:paraId="2A62810D" w14:textId="18199803" w:rsidR="00A16F70" w:rsidRPr="00A56463" w:rsidRDefault="0050161B" w:rsidP="0050161B">
      <w:r w:rsidRPr="00A56463">
        <w:t>Across the literature, a consistent pattern emerges</w:t>
      </w:r>
      <w:r w:rsidR="00075BA9" w:rsidRPr="00A56463">
        <w:t>; N</w:t>
      </w:r>
      <w:r w:rsidRPr="00A56463">
        <w:t xml:space="preserve">egative pain beliefs are associated with poorer outcomes, while more </w:t>
      </w:r>
      <w:r w:rsidR="00F325D4" w:rsidRPr="00A56463">
        <w:t>positive</w:t>
      </w:r>
      <w:r w:rsidRPr="00A56463">
        <w:t xml:space="preserve"> beliefs are associated with </w:t>
      </w:r>
      <w:r w:rsidR="00F325D4" w:rsidRPr="00A56463">
        <w:t>adaptive</w:t>
      </w:r>
      <w:r w:rsidRPr="00A56463">
        <w:t xml:space="preserve"> coping and engagement</w:t>
      </w:r>
      <w:r w:rsidR="00F325D4" w:rsidRPr="00A56463">
        <w:t xml:space="preserve"> with treatment</w:t>
      </w:r>
      <w:r w:rsidRPr="00A56463">
        <w:t>.</w:t>
      </w:r>
    </w:p>
    <w:p w14:paraId="20CDE71F" w14:textId="0C9385E7" w:rsidR="0049155A" w:rsidRPr="00A56463" w:rsidRDefault="00BF266D" w:rsidP="0050161B">
      <w:r w:rsidRPr="00A56463">
        <w:t xml:space="preserve">Overall, this review emphasizes a belief-informed understanding of pain, grounded in a modified </w:t>
      </w:r>
      <w:proofErr w:type="gramStart"/>
      <w:r w:rsidRPr="00A56463">
        <w:t>Common Sense</w:t>
      </w:r>
      <w:proofErr w:type="gramEnd"/>
      <w:r w:rsidRPr="00A56463">
        <w:t xml:space="preserve"> Model and informed by biological and contextual influences</w:t>
      </w:r>
      <w:r w:rsidR="00C87707" w:rsidRPr="00A56463">
        <w:t>. We</w:t>
      </w:r>
      <w:r w:rsidRPr="00A56463">
        <w:t xml:space="preserve"> highlight the importance of incorporating pain belief assessment, early identification of </w:t>
      </w:r>
      <w:r w:rsidR="0083449A" w:rsidRPr="00A56463">
        <w:t>negative</w:t>
      </w:r>
      <w:r w:rsidRPr="00A56463">
        <w:t xml:space="preserve"> beliefs</w:t>
      </w:r>
      <w:r w:rsidR="0083449A" w:rsidRPr="00A56463">
        <w:t xml:space="preserve"> and maladaptive coping behaviors</w:t>
      </w:r>
      <w:r w:rsidRPr="00A56463">
        <w:t>, and belief-informed communication into clinical care</w:t>
      </w:r>
      <w:r w:rsidR="005C60FD" w:rsidRPr="00A56463">
        <w:t>.</w:t>
      </w:r>
      <w:r w:rsidR="00075BA9" w:rsidRPr="00A56463">
        <w:t xml:space="preserve"> </w:t>
      </w:r>
      <w:r w:rsidR="0050161B" w:rsidRPr="00A56463">
        <w:t>Thank you for your interest in our work.</w:t>
      </w:r>
      <w:r w:rsidR="00F325D4" w:rsidRPr="00A56463">
        <w:t xml:space="preserve"> </w:t>
      </w:r>
      <w:r w:rsidR="0050161B" w:rsidRPr="00A56463">
        <w:t>We hope this review supports more belief-informed approaches to pain care, and we welcome any questions or feedback</w:t>
      </w:r>
      <w:r w:rsidR="00F325D4" w:rsidRPr="00A56463">
        <w:t xml:space="preserve"> to be directed to the corresponding author.</w:t>
      </w:r>
    </w:p>
    <w:sectPr w:rsidR="0049155A" w:rsidRPr="00A5646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CD783" w14:textId="77777777" w:rsidR="005461E9" w:rsidRDefault="005461E9" w:rsidP="00A56463">
      <w:pPr>
        <w:spacing w:after="0" w:line="240" w:lineRule="auto"/>
      </w:pPr>
      <w:r>
        <w:separator/>
      </w:r>
    </w:p>
  </w:endnote>
  <w:endnote w:type="continuationSeparator" w:id="0">
    <w:p w14:paraId="2566EDF2" w14:textId="77777777" w:rsidR="005461E9" w:rsidRDefault="005461E9" w:rsidP="00A56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B49C9" w14:textId="77777777" w:rsidR="005461E9" w:rsidRDefault="005461E9" w:rsidP="00A56463">
      <w:pPr>
        <w:spacing w:after="0" w:line="240" w:lineRule="auto"/>
      </w:pPr>
      <w:r>
        <w:separator/>
      </w:r>
    </w:p>
  </w:footnote>
  <w:footnote w:type="continuationSeparator" w:id="0">
    <w:p w14:paraId="35CCC6F0" w14:textId="77777777" w:rsidR="005461E9" w:rsidRDefault="005461E9" w:rsidP="00A56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0810B" w14:textId="1502016E" w:rsidR="00EF5792" w:rsidRDefault="002D20A8">
    <w:pPr>
      <w:pStyle w:val="Header"/>
    </w:pPr>
    <w:r>
      <w:t xml:space="preserve">Submission ID: </w:t>
    </w:r>
    <w:r w:rsidR="00EF5792" w:rsidRPr="00EF5792">
      <w:t>603074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950"/>
    <w:rsid w:val="00075BA9"/>
    <w:rsid w:val="0007638B"/>
    <w:rsid w:val="00132C1B"/>
    <w:rsid w:val="00145C3B"/>
    <w:rsid w:val="00197A74"/>
    <w:rsid w:val="001C6E2A"/>
    <w:rsid w:val="002B38FA"/>
    <w:rsid w:val="002D20A8"/>
    <w:rsid w:val="002E052D"/>
    <w:rsid w:val="0049155A"/>
    <w:rsid w:val="0050161B"/>
    <w:rsid w:val="005461E9"/>
    <w:rsid w:val="005B008E"/>
    <w:rsid w:val="005C60FD"/>
    <w:rsid w:val="00615793"/>
    <w:rsid w:val="007216D4"/>
    <w:rsid w:val="0083449A"/>
    <w:rsid w:val="0083516D"/>
    <w:rsid w:val="009340A9"/>
    <w:rsid w:val="00957C19"/>
    <w:rsid w:val="009C274F"/>
    <w:rsid w:val="009D152E"/>
    <w:rsid w:val="00A16F70"/>
    <w:rsid w:val="00A56463"/>
    <w:rsid w:val="00BF266D"/>
    <w:rsid w:val="00C25557"/>
    <w:rsid w:val="00C32423"/>
    <w:rsid w:val="00C87707"/>
    <w:rsid w:val="00D80482"/>
    <w:rsid w:val="00D915A9"/>
    <w:rsid w:val="00E1593C"/>
    <w:rsid w:val="00EF5792"/>
    <w:rsid w:val="00F325D4"/>
    <w:rsid w:val="00F52950"/>
    <w:rsid w:val="00F7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CDE16"/>
  <w15:chartTrackingRefBased/>
  <w15:docId w15:val="{E6AEA143-71D1-4653-9416-1027273E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29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29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29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29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29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29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29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29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29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29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29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29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29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29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29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29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29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29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29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29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29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29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29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29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29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29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29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29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29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56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463"/>
  </w:style>
  <w:style w:type="paragraph" w:styleId="Footer">
    <w:name w:val="footer"/>
    <w:basedOn w:val="Normal"/>
    <w:link w:val="FooterChar"/>
    <w:uiPriority w:val="99"/>
    <w:unhideWhenUsed/>
    <w:rsid w:val="00A56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</Pages>
  <Words>359</Words>
  <Characters>2304</Characters>
  <Application>Microsoft Office Word</Application>
  <DocSecurity>0</DocSecurity>
  <Lines>45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Piscura, Mary</dc:creator>
  <cp:keywords/>
  <dc:description/>
  <cp:lastModifiedBy>Piscura, Mary</cp:lastModifiedBy>
  <cp:revision>22</cp:revision>
  <dcterms:created xsi:type="dcterms:W3CDTF">2026-04-03T17:14:00Z</dcterms:created>
  <dcterms:modified xsi:type="dcterms:W3CDTF">2026-04-08T02:28:00Z</dcterms:modified>
</cp:coreProperties>
</file>