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D2710" w14:textId="74601DC3" w:rsidR="007D321E" w:rsidRDefault="00B83A36" w:rsidP="0661A714">
      <w:pPr>
        <w:snapToGri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B59C7" w:rsidRPr="0661A714">
        <w:rPr>
          <w:rFonts w:ascii="Arial" w:hAnsi="Arial" w:cs="Arial"/>
        </w:rPr>
        <w:t>eprotumumab</w:t>
      </w:r>
      <w:r w:rsidR="35D8C61C" w:rsidRPr="0661A714">
        <w:rPr>
          <w:rFonts w:ascii="Arial" w:hAnsi="Arial" w:cs="Arial"/>
        </w:rPr>
        <w:t xml:space="preserve"> is</w:t>
      </w:r>
      <w:r w:rsidR="00BC1170" w:rsidRPr="0661A714">
        <w:rPr>
          <w:rFonts w:ascii="Arial" w:hAnsi="Arial" w:cs="Arial"/>
        </w:rPr>
        <w:t xml:space="preserve"> an insulin-like growth factor-1 receptor</w:t>
      </w:r>
      <w:r w:rsidR="00AC4E3B" w:rsidRPr="0661A714">
        <w:rPr>
          <w:rFonts w:ascii="Arial" w:hAnsi="Arial" w:cs="Arial"/>
        </w:rPr>
        <w:t xml:space="preserve"> </w:t>
      </w:r>
      <w:r w:rsidR="00BC1170" w:rsidRPr="0661A714">
        <w:rPr>
          <w:rFonts w:ascii="Arial" w:hAnsi="Arial" w:cs="Arial"/>
        </w:rPr>
        <w:t>inhibitor</w:t>
      </w:r>
      <w:r w:rsidR="00510129">
        <w:rPr>
          <w:rFonts w:ascii="Arial" w:hAnsi="Arial" w:cs="Arial"/>
        </w:rPr>
        <w:t xml:space="preserve"> and is</w:t>
      </w:r>
      <w:r w:rsidR="00AC4E3B" w:rsidRPr="0661A714">
        <w:rPr>
          <w:rFonts w:ascii="Arial" w:hAnsi="Arial" w:cs="Arial"/>
        </w:rPr>
        <w:t xml:space="preserve"> recommended as a preferred therapy for moderate-to-severe active thyroid eye disease</w:t>
      </w:r>
      <w:r w:rsidR="004A6B99">
        <w:rPr>
          <w:rFonts w:ascii="Arial" w:hAnsi="Arial" w:cs="Arial"/>
        </w:rPr>
        <w:t xml:space="preserve">, or </w:t>
      </w:r>
      <w:r w:rsidR="00AC4E3B" w:rsidRPr="0661A714">
        <w:rPr>
          <w:rFonts w:ascii="Arial" w:hAnsi="Arial" w:cs="Arial"/>
        </w:rPr>
        <w:t>TED</w:t>
      </w:r>
      <w:r w:rsidR="004A6B99">
        <w:rPr>
          <w:rFonts w:ascii="Arial" w:hAnsi="Arial" w:cs="Arial"/>
        </w:rPr>
        <w:t>. However,</w:t>
      </w:r>
      <w:r w:rsidR="00AC4E3B" w:rsidRPr="0661A714">
        <w:rPr>
          <w:rFonts w:ascii="Arial" w:hAnsi="Arial" w:cs="Arial"/>
        </w:rPr>
        <w:t xml:space="preserve"> </w:t>
      </w:r>
      <w:r w:rsidR="00B865E3">
        <w:rPr>
          <w:rFonts w:ascii="Arial" w:hAnsi="Arial" w:cs="Arial"/>
        </w:rPr>
        <w:t xml:space="preserve">large-scale </w:t>
      </w:r>
      <w:r w:rsidR="00AC4E3B" w:rsidRPr="0661A714">
        <w:rPr>
          <w:rFonts w:ascii="Arial" w:hAnsi="Arial" w:cs="Arial"/>
        </w:rPr>
        <w:t>real-world evidence describing its use</w:t>
      </w:r>
      <w:r w:rsidR="00B9041B">
        <w:rPr>
          <w:rFonts w:ascii="Arial" w:hAnsi="Arial" w:cs="Arial"/>
        </w:rPr>
        <w:t xml:space="preserve"> in clinical practice</w:t>
      </w:r>
      <w:r w:rsidR="00AC4E3B" w:rsidRPr="0661A714">
        <w:rPr>
          <w:rFonts w:ascii="Arial" w:hAnsi="Arial" w:cs="Arial"/>
        </w:rPr>
        <w:t xml:space="preserve"> remain</w:t>
      </w:r>
      <w:r w:rsidR="00C026BA">
        <w:rPr>
          <w:rFonts w:ascii="Arial" w:hAnsi="Arial" w:cs="Arial"/>
        </w:rPr>
        <w:t>s</w:t>
      </w:r>
      <w:r w:rsidR="00AC4E3B" w:rsidRPr="0661A714">
        <w:rPr>
          <w:rFonts w:ascii="Arial" w:hAnsi="Arial" w:cs="Arial"/>
        </w:rPr>
        <w:t xml:space="preserve"> limited.</w:t>
      </w:r>
      <w:r w:rsidR="000E526F" w:rsidRPr="0661A714">
        <w:rPr>
          <w:rFonts w:ascii="Arial" w:hAnsi="Arial" w:cs="Arial"/>
        </w:rPr>
        <w:t xml:space="preserve"> </w:t>
      </w:r>
    </w:p>
    <w:p w14:paraId="77D15D88" w14:textId="59408ADF" w:rsidR="00D12FFE" w:rsidRDefault="000E526F" w:rsidP="0661A714">
      <w:pPr>
        <w:snapToGrid w:val="0"/>
        <w:spacing w:line="480" w:lineRule="auto"/>
        <w:rPr>
          <w:rFonts w:ascii="Arial" w:hAnsi="Arial" w:cs="Arial"/>
        </w:rPr>
      </w:pPr>
      <w:r w:rsidRPr="0661A714">
        <w:rPr>
          <w:rFonts w:ascii="Arial" w:hAnsi="Arial" w:cs="Arial"/>
        </w:rPr>
        <w:t xml:space="preserve">In this retrospective cohort study, we </w:t>
      </w:r>
      <w:r w:rsidR="00FB3CBE">
        <w:rPr>
          <w:rFonts w:ascii="Arial" w:hAnsi="Arial" w:cs="Arial"/>
        </w:rPr>
        <w:t xml:space="preserve">characterized </w:t>
      </w:r>
      <w:r w:rsidRPr="0661A714">
        <w:rPr>
          <w:rFonts w:ascii="Arial" w:hAnsi="Arial" w:cs="Arial"/>
        </w:rPr>
        <w:t xml:space="preserve">patient characteristics and teprotumumab infusion patterns among patients with TED in the United States using linked data from the </w:t>
      </w:r>
      <w:r w:rsidR="008729BC" w:rsidRPr="008729BC">
        <w:rPr>
          <w:rFonts w:ascii="Arial" w:hAnsi="Arial" w:cs="Arial"/>
        </w:rPr>
        <w:t>American Academy of Ophthalmology IRIS® Registry (Intelligent Research in Sight)</w:t>
      </w:r>
      <w:r w:rsidR="008729BC">
        <w:rPr>
          <w:rFonts w:ascii="Arial" w:hAnsi="Arial" w:cs="Arial"/>
        </w:rPr>
        <w:t xml:space="preserve"> </w:t>
      </w:r>
      <w:r w:rsidRPr="0661A714">
        <w:rPr>
          <w:rFonts w:ascii="Arial" w:hAnsi="Arial" w:cs="Arial"/>
        </w:rPr>
        <w:t xml:space="preserve">and Komodo Health. </w:t>
      </w:r>
      <w:r w:rsidR="009C1F76">
        <w:rPr>
          <w:rFonts w:ascii="Arial" w:hAnsi="Arial" w:cs="Arial"/>
        </w:rPr>
        <w:t>Th</w:t>
      </w:r>
      <w:r w:rsidR="00744E15">
        <w:rPr>
          <w:rFonts w:ascii="Arial" w:hAnsi="Arial" w:cs="Arial"/>
        </w:rPr>
        <w:t>e</w:t>
      </w:r>
      <w:r w:rsidR="009C1F76">
        <w:rPr>
          <w:rFonts w:ascii="Arial" w:hAnsi="Arial" w:cs="Arial"/>
        </w:rPr>
        <w:t xml:space="preserve"> study</w:t>
      </w:r>
      <w:r w:rsidR="00744E15">
        <w:rPr>
          <w:rFonts w:ascii="Arial" w:hAnsi="Arial" w:cs="Arial"/>
        </w:rPr>
        <w:t xml:space="preserve"> cohort</w:t>
      </w:r>
      <w:r w:rsidR="009C1F76">
        <w:rPr>
          <w:rFonts w:ascii="Arial" w:hAnsi="Arial" w:cs="Arial"/>
        </w:rPr>
        <w:t xml:space="preserve"> included a</w:t>
      </w:r>
      <w:r w:rsidRPr="0661A714">
        <w:rPr>
          <w:rFonts w:ascii="Arial" w:hAnsi="Arial" w:cs="Arial"/>
        </w:rPr>
        <w:t xml:space="preserve">dult patients who received at least one teprotumumab infusion </w:t>
      </w:r>
      <w:r w:rsidR="0041381B">
        <w:rPr>
          <w:rFonts w:ascii="Arial" w:hAnsi="Arial" w:cs="Arial"/>
        </w:rPr>
        <w:t>after its approval in 2020</w:t>
      </w:r>
      <w:r w:rsidR="00586B54">
        <w:rPr>
          <w:rFonts w:ascii="Arial" w:hAnsi="Arial" w:cs="Arial"/>
        </w:rPr>
        <w:t>. W</w:t>
      </w:r>
      <w:r w:rsidR="0027636B">
        <w:rPr>
          <w:rFonts w:ascii="Arial" w:hAnsi="Arial" w:cs="Arial"/>
        </w:rPr>
        <w:t xml:space="preserve">e assessed </w:t>
      </w:r>
      <w:r w:rsidR="00F52708">
        <w:rPr>
          <w:rFonts w:ascii="Arial" w:hAnsi="Arial" w:cs="Arial"/>
        </w:rPr>
        <w:t>tepr</w:t>
      </w:r>
      <w:r w:rsidR="00A84A58">
        <w:rPr>
          <w:rFonts w:ascii="Arial" w:hAnsi="Arial" w:cs="Arial"/>
        </w:rPr>
        <w:t>otumumab treatment patterns</w:t>
      </w:r>
      <w:r w:rsidR="0041381B">
        <w:rPr>
          <w:rFonts w:ascii="Arial" w:hAnsi="Arial" w:cs="Arial"/>
        </w:rPr>
        <w:t xml:space="preserve"> for the overall population</w:t>
      </w:r>
      <w:r w:rsidR="0027636B">
        <w:rPr>
          <w:rFonts w:ascii="Arial" w:hAnsi="Arial" w:cs="Arial"/>
        </w:rPr>
        <w:t xml:space="preserve"> </w:t>
      </w:r>
      <w:proofErr w:type="gramStart"/>
      <w:r w:rsidR="00F73390">
        <w:rPr>
          <w:rFonts w:ascii="Arial" w:hAnsi="Arial" w:cs="Arial"/>
        </w:rPr>
        <w:t>and also</w:t>
      </w:r>
      <w:proofErr w:type="gramEnd"/>
      <w:r w:rsidR="00F73390">
        <w:rPr>
          <w:rFonts w:ascii="Arial" w:hAnsi="Arial" w:cs="Arial"/>
        </w:rPr>
        <w:t xml:space="preserve"> stratified by TED disease</w:t>
      </w:r>
      <w:r w:rsidRPr="0661A714">
        <w:rPr>
          <w:rFonts w:ascii="Arial" w:hAnsi="Arial" w:cs="Arial"/>
        </w:rPr>
        <w:t xml:space="preserve"> duration. </w:t>
      </w:r>
    </w:p>
    <w:p w14:paraId="74316EE7" w14:textId="46A4C27B" w:rsidR="007A4178" w:rsidRDefault="007A4178" w:rsidP="0661A714">
      <w:pPr>
        <w:snapToGri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Objectives of the study included defining baseline characteristics, describing the patterns of teprotumumab use, </w:t>
      </w:r>
      <w:proofErr w:type="gramStart"/>
      <w:r>
        <w:rPr>
          <w:rFonts w:ascii="Arial" w:hAnsi="Arial" w:cs="Arial"/>
        </w:rPr>
        <w:t>and also</w:t>
      </w:r>
      <w:proofErr w:type="gramEnd"/>
      <w:r>
        <w:rPr>
          <w:rFonts w:ascii="Arial" w:hAnsi="Arial" w:cs="Arial"/>
        </w:rPr>
        <w:t xml:space="preserve"> examining these two objectives among patients with shorter and longer disease duration. </w:t>
      </w:r>
    </w:p>
    <w:p w14:paraId="22F10FD0" w14:textId="68A326DB" w:rsidR="009B77BF" w:rsidRDefault="0014316F" w:rsidP="0661A714">
      <w:pPr>
        <w:snapToGri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We identified</w:t>
      </w:r>
      <w:r w:rsidRPr="0661A714">
        <w:rPr>
          <w:rFonts w:ascii="Arial" w:hAnsi="Arial" w:cs="Arial"/>
        </w:rPr>
        <w:t xml:space="preserve"> </w:t>
      </w:r>
      <w:r w:rsidR="000E526F" w:rsidRPr="0661A714">
        <w:rPr>
          <w:rFonts w:ascii="Arial" w:hAnsi="Arial" w:cs="Arial"/>
        </w:rPr>
        <w:t>2,886 patients</w:t>
      </w:r>
      <w:r>
        <w:rPr>
          <w:rFonts w:ascii="Arial" w:hAnsi="Arial" w:cs="Arial"/>
        </w:rPr>
        <w:t xml:space="preserve"> who received teprotumumab.</w:t>
      </w:r>
      <w:r w:rsidR="000E526F" w:rsidRPr="0661A7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0E526F" w:rsidRPr="0661A714">
        <w:rPr>
          <w:rFonts w:ascii="Arial" w:hAnsi="Arial" w:cs="Arial"/>
        </w:rPr>
        <w:t>h</w:t>
      </w:r>
      <w:r w:rsidR="00D12FFE">
        <w:rPr>
          <w:rFonts w:ascii="Arial" w:hAnsi="Arial" w:cs="Arial"/>
        </w:rPr>
        <w:t xml:space="preserve">is was a predominantly female population with a </w:t>
      </w:r>
      <w:r w:rsidR="00957232">
        <w:rPr>
          <w:rFonts w:ascii="Arial" w:hAnsi="Arial" w:cs="Arial"/>
        </w:rPr>
        <w:t>median</w:t>
      </w:r>
      <w:r w:rsidR="00D12FFE">
        <w:rPr>
          <w:rFonts w:ascii="Arial" w:hAnsi="Arial" w:cs="Arial"/>
        </w:rPr>
        <w:t xml:space="preserve"> age of </w:t>
      </w:r>
      <w:r w:rsidR="00957232">
        <w:rPr>
          <w:rFonts w:ascii="Arial" w:hAnsi="Arial" w:cs="Arial"/>
        </w:rPr>
        <w:t>60</w:t>
      </w:r>
      <w:r w:rsidR="00D12FFE">
        <w:rPr>
          <w:rFonts w:ascii="Arial" w:hAnsi="Arial" w:cs="Arial"/>
        </w:rPr>
        <w:t xml:space="preserve"> years.</w:t>
      </w:r>
      <w:r w:rsidR="00855CBC">
        <w:rPr>
          <w:rFonts w:ascii="Arial" w:hAnsi="Arial" w:cs="Arial"/>
        </w:rPr>
        <w:t xml:space="preserve"> O</w:t>
      </w:r>
      <w:r w:rsidR="00855CBC" w:rsidRPr="0661A714">
        <w:rPr>
          <w:rFonts w:ascii="Arial" w:hAnsi="Arial" w:cs="Arial"/>
        </w:rPr>
        <w:t xml:space="preserve">ver 90% of those with available CAS measurements </w:t>
      </w:r>
      <w:r w:rsidR="00855CBC">
        <w:rPr>
          <w:rFonts w:ascii="Arial" w:hAnsi="Arial" w:cs="Arial"/>
        </w:rPr>
        <w:t>had</w:t>
      </w:r>
      <w:r w:rsidR="00855CBC" w:rsidRPr="0661A714">
        <w:rPr>
          <w:rFonts w:ascii="Arial" w:hAnsi="Arial" w:cs="Arial"/>
        </w:rPr>
        <w:t xml:space="preserve"> active disease</w:t>
      </w:r>
      <w:r w:rsidR="00F95640">
        <w:rPr>
          <w:rFonts w:ascii="Arial" w:hAnsi="Arial" w:cs="Arial"/>
        </w:rPr>
        <w:t xml:space="preserve"> prior to teprotumumab initiation.</w:t>
      </w:r>
      <w:r w:rsidR="000E526F" w:rsidRPr="0661A714">
        <w:rPr>
          <w:rFonts w:ascii="Arial" w:hAnsi="Arial" w:cs="Arial"/>
        </w:rPr>
        <w:t xml:space="preserve"> </w:t>
      </w:r>
      <w:r w:rsidR="00F95640">
        <w:rPr>
          <w:rFonts w:ascii="Arial" w:hAnsi="Arial" w:cs="Arial"/>
        </w:rPr>
        <w:t>P</w:t>
      </w:r>
      <w:r w:rsidR="000E526F" w:rsidRPr="0661A714">
        <w:rPr>
          <w:rFonts w:ascii="Arial" w:hAnsi="Arial" w:cs="Arial"/>
        </w:rPr>
        <w:t xml:space="preserve">atients </w:t>
      </w:r>
      <w:r w:rsidR="00D05B89">
        <w:rPr>
          <w:rFonts w:ascii="Arial" w:hAnsi="Arial" w:cs="Arial"/>
        </w:rPr>
        <w:t>exhibited</w:t>
      </w:r>
      <w:r w:rsidR="005D2D30" w:rsidRPr="0661A714">
        <w:rPr>
          <w:rFonts w:ascii="Arial" w:hAnsi="Arial" w:cs="Arial"/>
        </w:rPr>
        <w:t xml:space="preserve"> </w:t>
      </w:r>
      <w:r w:rsidR="000E526F" w:rsidRPr="0661A714">
        <w:rPr>
          <w:rFonts w:ascii="Arial" w:hAnsi="Arial" w:cs="Arial"/>
        </w:rPr>
        <w:t>substantial disease burden</w:t>
      </w:r>
      <w:r w:rsidR="00586B54">
        <w:rPr>
          <w:rFonts w:ascii="Arial" w:hAnsi="Arial" w:cs="Arial"/>
        </w:rPr>
        <w:t xml:space="preserve"> regardless of disease duration</w:t>
      </w:r>
      <w:r w:rsidR="00DF25D0">
        <w:rPr>
          <w:rFonts w:ascii="Arial" w:hAnsi="Arial" w:cs="Arial"/>
        </w:rPr>
        <w:t xml:space="preserve"> –</w:t>
      </w:r>
      <w:r w:rsidR="000E526F" w:rsidRPr="0661A714">
        <w:rPr>
          <w:rFonts w:ascii="Arial" w:hAnsi="Arial" w:cs="Arial"/>
        </w:rPr>
        <w:t xml:space="preserve"> the majority experienc</w:t>
      </w:r>
      <w:r w:rsidR="00DF25D0">
        <w:rPr>
          <w:rFonts w:ascii="Arial" w:hAnsi="Arial" w:cs="Arial"/>
        </w:rPr>
        <w:t>ed</w:t>
      </w:r>
      <w:r w:rsidR="000E526F" w:rsidRPr="0661A714">
        <w:rPr>
          <w:rFonts w:ascii="Arial" w:hAnsi="Arial" w:cs="Arial"/>
        </w:rPr>
        <w:t xml:space="preserve"> at least one eye sign or symptom</w:t>
      </w:r>
      <w:r w:rsidR="00855CBC">
        <w:rPr>
          <w:rFonts w:ascii="Arial" w:hAnsi="Arial" w:cs="Arial"/>
        </w:rPr>
        <w:t>.</w:t>
      </w:r>
      <w:r w:rsidR="007D39E6">
        <w:rPr>
          <w:rFonts w:ascii="Arial" w:hAnsi="Arial" w:cs="Arial"/>
        </w:rPr>
        <w:t xml:space="preserve"> </w:t>
      </w:r>
      <w:r w:rsidR="000E526F" w:rsidRPr="0661A714">
        <w:rPr>
          <w:rFonts w:ascii="Arial" w:hAnsi="Arial" w:cs="Arial"/>
        </w:rPr>
        <w:t xml:space="preserve"> </w:t>
      </w:r>
      <w:r w:rsidR="00641186">
        <w:rPr>
          <w:rFonts w:ascii="Arial" w:hAnsi="Arial" w:cs="Arial"/>
        </w:rPr>
        <w:t>Dry eye, hypertension, and type 2 diabetes were also common, highlighting the broader clinical complexity among patients with TED.</w:t>
      </w:r>
      <w:r w:rsidR="00641186">
        <w:rPr>
          <w:rFonts w:ascii="Arial" w:hAnsi="Arial" w:cs="Arial"/>
        </w:rPr>
        <w:br/>
      </w:r>
      <w:r w:rsidR="000E526F" w:rsidRPr="0661A714">
        <w:rPr>
          <w:rFonts w:ascii="Arial" w:hAnsi="Arial" w:cs="Arial"/>
        </w:rPr>
        <w:t xml:space="preserve">Most </w:t>
      </w:r>
      <w:proofErr w:type="gramStart"/>
      <w:r w:rsidR="000E526F" w:rsidRPr="0661A714">
        <w:rPr>
          <w:rFonts w:ascii="Arial" w:hAnsi="Arial" w:cs="Arial"/>
        </w:rPr>
        <w:t>patients initiated</w:t>
      </w:r>
      <w:proofErr w:type="gramEnd"/>
      <w:r w:rsidR="000E526F" w:rsidRPr="0661A714">
        <w:rPr>
          <w:rFonts w:ascii="Arial" w:hAnsi="Arial" w:cs="Arial"/>
        </w:rPr>
        <w:t xml:space="preserve"> treatment within 12 months of </w:t>
      </w:r>
      <w:r w:rsidR="00641186">
        <w:rPr>
          <w:rFonts w:ascii="Arial" w:hAnsi="Arial" w:cs="Arial"/>
        </w:rPr>
        <w:t xml:space="preserve">TED </w:t>
      </w:r>
      <w:r w:rsidR="000E526F" w:rsidRPr="0661A714">
        <w:rPr>
          <w:rFonts w:ascii="Arial" w:hAnsi="Arial" w:cs="Arial"/>
        </w:rPr>
        <w:t xml:space="preserve">diagnosis, suggesting early </w:t>
      </w:r>
      <w:r w:rsidR="00BA1A7D">
        <w:rPr>
          <w:rFonts w:ascii="Arial" w:hAnsi="Arial" w:cs="Arial"/>
        </w:rPr>
        <w:t>adoption of teprotumumab</w:t>
      </w:r>
      <w:r w:rsidR="00BA1A7D" w:rsidRPr="0661A714">
        <w:rPr>
          <w:rFonts w:ascii="Arial" w:hAnsi="Arial" w:cs="Arial"/>
        </w:rPr>
        <w:t xml:space="preserve"> </w:t>
      </w:r>
      <w:r w:rsidR="000E526F" w:rsidRPr="0661A714">
        <w:rPr>
          <w:rFonts w:ascii="Arial" w:hAnsi="Arial" w:cs="Arial"/>
        </w:rPr>
        <w:t>in clinical practice. Approximately 65% completed the full 8-infusion course</w:t>
      </w:r>
      <w:r w:rsidR="00BA1A7D">
        <w:rPr>
          <w:rFonts w:ascii="Arial" w:hAnsi="Arial" w:cs="Arial"/>
        </w:rPr>
        <w:t xml:space="preserve">, with </w:t>
      </w:r>
      <w:r w:rsidR="000E526F" w:rsidRPr="0661A714">
        <w:rPr>
          <w:rFonts w:ascii="Arial" w:hAnsi="Arial" w:cs="Arial"/>
        </w:rPr>
        <w:t xml:space="preserve">a median </w:t>
      </w:r>
      <w:r w:rsidR="00BA1A7D">
        <w:rPr>
          <w:rFonts w:ascii="Arial" w:hAnsi="Arial" w:cs="Arial"/>
        </w:rPr>
        <w:t xml:space="preserve">time to completion </w:t>
      </w:r>
      <w:r w:rsidR="000E526F" w:rsidRPr="0661A714">
        <w:rPr>
          <w:rFonts w:ascii="Arial" w:hAnsi="Arial" w:cs="Arial"/>
        </w:rPr>
        <w:t>of 5 months,</w:t>
      </w:r>
      <w:r w:rsidR="00BA1A7D">
        <w:rPr>
          <w:rFonts w:ascii="Arial" w:hAnsi="Arial" w:cs="Arial"/>
        </w:rPr>
        <w:t xml:space="preserve"> which was consistent </w:t>
      </w:r>
      <w:r w:rsidR="00BA1A7D">
        <w:rPr>
          <w:rFonts w:ascii="Arial" w:hAnsi="Arial" w:cs="Arial"/>
        </w:rPr>
        <w:lastRenderedPageBreak/>
        <w:t>with the recommended dosing schedule.</w:t>
      </w:r>
      <w:r w:rsidR="000E526F" w:rsidRPr="0661A714">
        <w:rPr>
          <w:rFonts w:ascii="Arial" w:hAnsi="Arial" w:cs="Arial"/>
        </w:rPr>
        <w:t xml:space="preserve"> </w:t>
      </w:r>
      <w:r w:rsidR="00A700AC">
        <w:rPr>
          <w:rFonts w:ascii="Arial" w:hAnsi="Arial" w:cs="Arial"/>
        </w:rPr>
        <w:t>The remain</w:t>
      </w:r>
      <w:r w:rsidR="00F76957">
        <w:rPr>
          <w:rFonts w:ascii="Arial" w:hAnsi="Arial" w:cs="Arial"/>
        </w:rPr>
        <w:t>ing</w:t>
      </w:r>
      <w:r w:rsidR="00A700AC">
        <w:rPr>
          <w:rFonts w:ascii="Arial" w:hAnsi="Arial" w:cs="Arial"/>
        </w:rPr>
        <w:t xml:space="preserve"> </w:t>
      </w:r>
      <w:r w:rsidR="000E526F" w:rsidRPr="0661A714">
        <w:rPr>
          <w:rFonts w:ascii="Arial" w:hAnsi="Arial" w:cs="Arial"/>
        </w:rPr>
        <w:t>35% discontinued early</w:t>
      </w:r>
      <w:r w:rsidR="00A700AC">
        <w:rPr>
          <w:rFonts w:ascii="Arial" w:hAnsi="Arial" w:cs="Arial"/>
        </w:rPr>
        <w:t>,</w:t>
      </w:r>
      <w:r w:rsidR="00F2264C">
        <w:rPr>
          <w:rFonts w:ascii="Arial" w:hAnsi="Arial" w:cs="Arial"/>
        </w:rPr>
        <w:t xml:space="preserve"> receiving a mean of 4 infusions </w:t>
      </w:r>
      <w:r w:rsidR="00544C2D">
        <w:rPr>
          <w:rFonts w:ascii="Arial" w:hAnsi="Arial" w:cs="Arial"/>
        </w:rPr>
        <w:t>over</w:t>
      </w:r>
      <w:r w:rsidR="000E526F" w:rsidRPr="0661A714">
        <w:rPr>
          <w:rFonts w:ascii="Arial" w:hAnsi="Arial" w:cs="Arial"/>
        </w:rPr>
        <w:t xml:space="preserve"> a median of 3 months. </w:t>
      </w:r>
      <w:r w:rsidR="00262E3E">
        <w:rPr>
          <w:rFonts w:ascii="Arial" w:hAnsi="Arial" w:cs="Arial"/>
        </w:rPr>
        <w:t>Among patients that completed the full 8-infusion course, 10% initiated retreatment with a 9</w:t>
      </w:r>
      <w:r w:rsidR="00262E3E" w:rsidRPr="00851FED">
        <w:rPr>
          <w:rFonts w:ascii="Arial" w:hAnsi="Arial" w:cs="Arial"/>
          <w:vertAlign w:val="superscript"/>
        </w:rPr>
        <w:t>th</w:t>
      </w:r>
      <w:r w:rsidR="00262E3E">
        <w:rPr>
          <w:rFonts w:ascii="Arial" w:hAnsi="Arial" w:cs="Arial"/>
        </w:rPr>
        <w:t xml:space="preserve"> infusion, of which </w:t>
      </w:r>
      <w:r w:rsidR="009B77BF">
        <w:rPr>
          <w:rFonts w:ascii="Arial" w:hAnsi="Arial" w:cs="Arial"/>
        </w:rPr>
        <w:t>some</w:t>
      </w:r>
      <w:r w:rsidR="00262E3E">
        <w:rPr>
          <w:rFonts w:ascii="Arial" w:hAnsi="Arial" w:cs="Arial"/>
        </w:rPr>
        <w:t xml:space="preserve"> </w:t>
      </w:r>
      <w:r w:rsidR="000E526F" w:rsidRPr="0661A714">
        <w:rPr>
          <w:rFonts w:ascii="Arial" w:hAnsi="Arial" w:cs="Arial"/>
        </w:rPr>
        <w:t>complet</w:t>
      </w:r>
      <w:r w:rsidR="009120E6">
        <w:rPr>
          <w:rFonts w:ascii="Arial" w:hAnsi="Arial" w:cs="Arial"/>
        </w:rPr>
        <w:t>ed</w:t>
      </w:r>
      <w:r w:rsidR="000E526F" w:rsidRPr="0661A714">
        <w:rPr>
          <w:rFonts w:ascii="Arial" w:hAnsi="Arial" w:cs="Arial"/>
        </w:rPr>
        <w:t xml:space="preserve"> a </w:t>
      </w:r>
      <w:r w:rsidR="009B77BF">
        <w:rPr>
          <w:rFonts w:ascii="Arial" w:hAnsi="Arial" w:cs="Arial"/>
        </w:rPr>
        <w:t xml:space="preserve">full </w:t>
      </w:r>
      <w:r w:rsidR="000E526F" w:rsidRPr="0661A714">
        <w:rPr>
          <w:rFonts w:ascii="Arial" w:hAnsi="Arial" w:cs="Arial"/>
        </w:rPr>
        <w:t xml:space="preserve">second course. </w:t>
      </w:r>
      <w:r w:rsidR="005510D4">
        <w:rPr>
          <w:rFonts w:ascii="Arial" w:hAnsi="Arial" w:cs="Arial"/>
        </w:rPr>
        <w:t>I</w:t>
      </w:r>
      <w:r w:rsidR="005510D4" w:rsidRPr="0661A714">
        <w:rPr>
          <w:rFonts w:ascii="Arial" w:hAnsi="Arial" w:cs="Arial"/>
        </w:rPr>
        <w:t xml:space="preserve">nfusion patterns were similar </w:t>
      </w:r>
      <w:r w:rsidR="00491486">
        <w:rPr>
          <w:rFonts w:ascii="Arial" w:hAnsi="Arial" w:cs="Arial"/>
        </w:rPr>
        <w:t>among shorter and longer duration TED.</w:t>
      </w:r>
    </w:p>
    <w:p w14:paraId="7C9366B3" w14:textId="7B9BFE05" w:rsidR="00A01D2A" w:rsidRPr="008E6347" w:rsidRDefault="000E526F" w:rsidP="0661A714">
      <w:pPr>
        <w:snapToGrid w:val="0"/>
        <w:spacing w:line="480" w:lineRule="auto"/>
        <w:rPr>
          <w:rFonts w:ascii="Arial" w:hAnsi="Arial" w:cs="Arial"/>
        </w:rPr>
      </w:pPr>
      <w:r w:rsidRPr="0661A714">
        <w:rPr>
          <w:rFonts w:ascii="Arial" w:hAnsi="Arial" w:cs="Arial"/>
        </w:rPr>
        <w:t xml:space="preserve">Overall, </w:t>
      </w:r>
      <w:r w:rsidR="00491486">
        <w:rPr>
          <w:rFonts w:ascii="Arial" w:hAnsi="Arial" w:cs="Arial"/>
        </w:rPr>
        <w:t>our</w:t>
      </w:r>
      <w:r w:rsidR="00FB672A">
        <w:rPr>
          <w:rFonts w:ascii="Arial" w:hAnsi="Arial" w:cs="Arial"/>
        </w:rPr>
        <w:t xml:space="preserve"> large real-world study demonstrates </w:t>
      </w:r>
      <w:r w:rsidRPr="0661A714">
        <w:rPr>
          <w:rFonts w:ascii="Arial" w:hAnsi="Arial" w:cs="Arial"/>
        </w:rPr>
        <w:t xml:space="preserve">that teprotumumab is </w:t>
      </w:r>
      <w:r w:rsidR="00D12DC9" w:rsidRPr="0661A714">
        <w:rPr>
          <w:rFonts w:ascii="Arial" w:hAnsi="Arial" w:cs="Arial"/>
        </w:rPr>
        <w:t>being initiated</w:t>
      </w:r>
      <w:r w:rsidRPr="0661A714">
        <w:rPr>
          <w:rFonts w:ascii="Arial" w:hAnsi="Arial" w:cs="Arial"/>
        </w:rPr>
        <w:t xml:space="preserve"> </w:t>
      </w:r>
      <w:r w:rsidR="00A029E6">
        <w:rPr>
          <w:rFonts w:ascii="Arial" w:hAnsi="Arial" w:cs="Arial"/>
        </w:rPr>
        <w:t>among</w:t>
      </w:r>
      <w:r w:rsidRPr="0661A714">
        <w:rPr>
          <w:rFonts w:ascii="Arial" w:hAnsi="Arial" w:cs="Arial"/>
        </w:rPr>
        <w:t xml:space="preserve"> patients with both recent-onset and longstanding TED</w:t>
      </w:r>
      <w:r w:rsidR="006E7641">
        <w:rPr>
          <w:rFonts w:ascii="Arial" w:hAnsi="Arial" w:cs="Arial"/>
        </w:rPr>
        <w:t xml:space="preserve">. Patients initiating teprotumumab exhibit substantial baseline disease burden, and </w:t>
      </w:r>
      <w:r w:rsidR="001B4262">
        <w:rPr>
          <w:rFonts w:ascii="Arial" w:hAnsi="Arial" w:cs="Arial"/>
        </w:rPr>
        <w:t>many</w:t>
      </w:r>
      <w:r w:rsidR="006E7641">
        <w:rPr>
          <w:rFonts w:ascii="Arial" w:hAnsi="Arial" w:cs="Arial"/>
        </w:rPr>
        <w:t xml:space="preserve"> patients complete</w:t>
      </w:r>
      <w:r w:rsidR="001B4262">
        <w:rPr>
          <w:rFonts w:ascii="Arial" w:hAnsi="Arial" w:cs="Arial"/>
        </w:rPr>
        <w:t>d</w:t>
      </w:r>
      <w:r w:rsidR="006E7641">
        <w:rPr>
          <w:rFonts w:ascii="Arial" w:hAnsi="Arial" w:cs="Arial"/>
        </w:rPr>
        <w:t xml:space="preserve"> the full treatment course</w:t>
      </w:r>
      <w:r w:rsidR="001B4262">
        <w:rPr>
          <w:rFonts w:ascii="Arial" w:hAnsi="Arial" w:cs="Arial"/>
        </w:rPr>
        <w:t xml:space="preserve"> per recommended dosing schedule</w:t>
      </w:r>
      <w:r w:rsidR="006E7641">
        <w:rPr>
          <w:rFonts w:ascii="Arial" w:hAnsi="Arial" w:cs="Arial"/>
        </w:rPr>
        <w:t xml:space="preserve"> in real-world practice. Our findings reflect</w:t>
      </w:r>
      <w:r w:rsidRPr="0661A714">
        <w:rPr>
          <w:rFonts w:ascii="Arial" w:hAnsi="Arial" w:cs="Arial"/>
        </w:rPr>
        <w:t xml:space="preserve"> evolving </w:t>
      </w:r>
      <w:r w:rsidR="006E7641">
        <w:rPr>
          <w:rFonts w:ascii="Arial" w:hAnsi="Arial" w:cs="Arial"/>
        </w:rPr>
        <w:t>treatment patterns in the world of TED and</w:t>
      </w:r>
      <w:r w:rsidRPr="0661A714">
        <w:rPr>
          <w:rFonts w:ascii="Arial" w:hAnsi="Arial" w:cs="Arial"/>
        </w:rPr>
        <w:t xml:space="preserve"> </w:t>
      </w:r>
      <w:r w:rsidR="0094759C" w:rsidRPr="0661A714">
        <w:rPr>
          <w:rFonts w:ascii="Arial" w:hAnsi="Arial" w:cs="Arial"/>
        </w:rPr>
        <w:t>highlight</w:t>
      </w:r>
      <w:r w:rsidR="0094759C">
        <w:rPr>
          <w:rFonts w:ascii="Arial" w:hAnsi="Arial" w:cs="Arial"/>
        </w:rPr>
        <w:t xml:space="preserve"> </w:t>
      </w:r>
      <w:r w:rsidRPr="0661A714">
        <w:rPr>
          <w:rFonts w:ascii="Arial" w:hAnsi="Arial" w:cs="Arial"/>
        </w:rPr>
        <w:t xml:space="preserve">the </w:t>
      </w:r>
      <w:r w:rsidR="0094759C">
        <w:rPr>
          <w:rFonts w:ascii="Arial" w:hAnsi="Arial" w:cs="Arial"/>
        </w:rPr>
        <w:t>importance in continuing this research to learn more about these patients.</w:t>
      </w:r>
    </w:p>
    <w:p w14:paraId="3B439B42" w14:textId="45A78F29" w:rsidR="00A01D2A" w:rsidRPr="008E6347" w:rsidRDefault="00A01D2A" w:rsidP="008E6347">
      <w:pPr>
        <w:snapToGrid w:val="0"/>
        <w:spacing w:line="480" w:lineRule="auto"/>
        <w:rPr>
          <w:rFonts w:ascii="Arial" w:hAnsi="Arial" w:cs="Arial"/>
          <w:color w:val="000000" w:themeColor="text1"/>
        </w:rPr>
      </w:pPr>
    </w:p>
    <w:sectPr w:rsidR="00A01D2A" w:rsidRPr="008E6347">
      <w:footerReference w:type="even" r:id="rId10"/>
      <w:footerReference w:type="defaul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CD8EE" w14:textId="77777777" w:rsidR="0003240A" w:rsidRDefault="0003240A" w:rsidP="00A47E04">
      <w:pPr>
        <w:spacing w:after="0" w:line="240" w:lineRule="auto"/>
      </w:pPr>
      <w:r>
        <w:separator/>
      </w:r>
    </w:p>
  </w:endnote>
  <w:endnote w:type="continuationSeparator" w:id="0">
    <w:p w14:paraId="3D386225" w14:textId="77777777" w:rsidR="0003240A" w:rsidRDefault="0003240A" w:rsidP="00A4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2D987" w14:textId="64544491" w:rsidR="00A47E04" w:rsidRDefault="00A47E0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FD753AF" wp14:editId="710822E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46075"/>
              <wp:effectExtent l="0" t="0" r="9525" b="0"/>
              <wp:wrapNone/>
              <wp:docPr id="111275157" name="Text Box 2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3F7464" w14:textId="3B60F872" w:rsidR="00A47E04" w:rsidRPr="00A47E04" w:rsidRDefault="00A47E04" w:rsidP="00A47E04">
                          <w:pPr>
                            <w:spacing w:after="0"/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A47E04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D753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formation Classification: General" style="position:absolute;margin-left:0;margin-top:0;width:164.25pt;height:27.2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363F7464" w14:textId="3B60F872" w:rsidR="00A47E04" w:rsidRPr="00A47E04" w:rsidRDefault="00A47E04" w:rsidP="00A47E04">
                    <w:pPr>
                      <w:spacing w:after="0"/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A47E04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44217" w14:textId="16B6C7BC" w:rsidR="00A47E04" w:rsidRDefault="00A47E0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1930B0" wp14:editId="78BB683C">
              <wp:simplePos x="914400" y="942022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46075"/>
              <wp:effectExtent l="0" t="0" r="9525" b="0"/>
              <wp:wrapNone/>
              <wp:docPr id="700994739" name="Text Box 3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D7615A" w14:textId="27BEC464" w:rsidR="00A47E04" w:rsidRPr="00A47E04" w:rsidRDefault="00A47E04" w:rsidP="00A47E04">
                          <w:pPr>
                            <w:spacing w:after="0"/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A47E04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1930B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formation Classification: General" style="position:absolute;margin-left:0;margin-top:0;width:164.25pt;height:27.2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7ED7615A" w14:textId="27BEC464" w:rsidR="00A47E04" w:rsidRPr="00A47E04" w:rsidRDefault="00A47E04" w:rsidP="00A47E04">
                    <w:pPr>
                      <w:spacing w:after="0"/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A47E04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EFC5D" w14:textId="7BAB46F0" w:rsidR="00A47E04" w:rsidRDefault="00A47E0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D5BA5" wp14:editId="4CE6FB1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46075"/>
              <wp:effectExtent l="0" t="0" r="9525" b="0"/>
              <wp:wrapNone/>
              <wp:docPr id="834609410" name="Text Box 1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5AE5F5" w14:textId="7234AD76" w:rsidR="00A47E04" w:rsidRPr="00A47E04" w:rsidRDefault="00A47E04" w:rsidP="00A47E04">
                          <w:pPr>
                            <w:spacing w:after="0"/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A47E04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D5BA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formation Classification: General" style="position:absolute;margin-left:0;margin-top:0;width:164.25pt;height:27.2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85AE5F5" w14:textId="7234AD76" w:rsidR="00A47E04" w:rsidRPr="00A47E04" w:rsidRDefault="00A47E04" w:rsidP="00A47E04">
                    <w:pPr>
                      <w:spacing w:after="0"/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A47E04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0D1AE" w14:textId="77777777" w:rsidR="0003240A" w:rsidRDefault="0003240A" w:rsidP="00A47E04">
      <w:pPr>
        <w:spacing w:after="0" w:line="240" w:lineRule="auto"/>
      </w:pPr>
      <w:r>
        <w:separator/>
      </w:r>
    </w:p>
  </w:footnote>
  <w:footnote w:type="continuationSeparator" w:id="0">
    <w:p w14:paraId="01734006" w14:textId="77777777" w:rsidR="0003240A" w:rsidRDefault="0003240A" w:rsidP="00A47E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C7"/>
    <w:rsid w:val="00006304"/>
    <w:rsid w:val="00006FB0"/>
    <w:rsid w:val="00015E98"/>
    <w:rsid w:val="0003240A"/>
    <w:rsid w:val="000837B4"/>
    <w:rsid w:val="000A6D58"/>
    <w:rsid w:val="000A7B39"/>
    <w:rsid w:val="000B08C3"/>
    <w:rsid w:val="000C00E8"/>
    <w:rsid w:val="000C1546"/>
    <w:rsid w:val="000C6C37"/>
    <w:rsid w:val="000E1C48"/>
    <w:rsid w:val="000E526F"/>
    <w:rsid w:val="00137A52"/>
    <w:rsid w:val="0014316F"/>
    <w:rsid w:val="0015650F"/>
    <w:rsid w:val="0016779C"/>
    <w:rsid w:val="001734A1"/>
    <w:rsid w:val="00176557"/>
    <w:rsid w:val="001A2EB2"/>
    <w:rsid w:val="001A459C"/>
    <w:rsid w:val="001B4262"/>
    <w:rsid w:val="001E59FE"/>
    <w:rsid w:val="001F2F4B"/>
    <w:rsid w:val="00210AF3"/>
    <w:rsid w:val="00225F5D"/>
    <w:rsid w:val="002276AE"/>
    <w:rsid w:val="002346DB"/>
    <w:rsid w:val="0025341E"/>
    <w:rsid w:val="00262E3E"/>
    <w:rsid w:val="00263980"/>
    <w:rsid w:val="0027636B"/>
    <w:rsid w:val="002763EF"/>
    <w:rsid w:val="002864BA"/>
    <w:rsid w:val="002D64B5"/>
    <w:rsid w:val="002F36A7"/>
    <w:rsid w:val="003059AF"/>
    <w:rsid w:val="0033369A"/>
    <w:rsid w:val="003A0DFE"/>
    <w:rsid w:val="003B47E9"/>
    <w:rsid w:val="003C248E"/>
    <w:rsid w:val="003D14BD"/>
    <w:rsid w:val="0041381B"/>
    <w:rsid w:val="00491486"/>
    <w:rsid w:val="004925A1"/>
    <w:rsid w:val="004A3738"/>
    <w:rsid w:val="004A6B99"/>
    <w:rsid w:val="00510129"/>
    <w:rsid w:val="00516C7E"/>
    <w:rsid w:val="00522681"/>
    <w:rsid w:val="00525A04"/>
    <w:rsid w:val="00533AE2"/>
    <w:rsid w:val="00544C2D"/>
    <w:rsid w:val="00546F06"/>
    <w:rsid w:val="005510D4"/>
    <w:rsid w:val="0058220A"/>
    <w:rsid w:val="00586B54"/>
    <w:rsid w:val="005B1A9E"/>
    <w:rsid w:val="005B4031"/>
    <w:rsid w:val="005D2D30"/>
    <w:rsid w:val="00641186"/>
    <w:rsid w:val="0067753C"/>
    <w:rsid w:val="006C75E6"/>
    <w:rsid w:val="006D1C62"/>
    <w:rsid w:val="006E7641"/>
    <w:rsid w:val="007110B7"/>
    <w:rsid w:val="00723F7A"/>
    <w:rsid w:val="0073280B"/>
    <w:rsid w:val="00744E15"/>
    <w:rsid w:val="00747990"/>
    <w:rsid w:val="007A4178"/>
    <w:rsid w:val="007A5C26"/>
    <w:rsid w:val="007B70AA"/>
    <w:rsid w:val="007C30A3"/>
    <w:rsid w:val="007C704B"/>
    <w:rsid w:val="007D321E"/>
    <w:rsid w:val="007D39E6"/>
    <w:rsid w:val="0080178A"/>
    <w:rsid w:val="00837856"/>
    <w:rsid w:val="00844979"/>
    <w:rsid w:val="00851FED"/>
    <w:rsid w:val="00855CBC"/>
    <w:rsid w:val="008714FE"/>
    <w:rsid w:val="008724E5"/>
    <w:rsid w:val="008729BC"/>
    <w:rsid w:val="00872EE3"/>
    <w:rsid w:val="00887D6D"/>
    <w:rsid w:val="00893068"/>
    <w:rsid w:val="008B281B"/>
    <w:rsid w:val="008C0E98"/>
    <w:rsid w:val="008D4DC8"/>
    <w:rsid w:val="008E6347"/>
    <w:rsid w:val="008F12CA"/>
    <w:rsid w:val="00901765"/>
    <w:rsid w:val="009120E6"/>
    <w:rsid w:val="00917E8C"/>
    <w:rsid w:val="00924B20"/>
    <w:rsid w:val="0094759C"/>
    <w:rsid w:val="00957232"/>
    <w:rsid w:val="0096635F"/>
    <w:rsid w:val="0096654D"/>
    <w:rsid w:val="0097432B"/>
    <w:rsid w:val="00993C02"/>
    <w:rsid w:val="009B59C7"/>
    <w:rsid w:val="009B77BF"/>
    <w:rsid w:val="009C1F76"/>
    <w:rsid w:val="00A01D2A"/>
    <w:rsid w:val="00A029E6"/>
    <w:rsid w:val="00A02ECF"/>
    <w:rsid w:val="00A0640E"/>
    <w:rsid w:val="00A3061D"/>
    <w:rsid w:val="00A40876"/>
    <w:rsid w:val="00A47E04"/>
    <w:rsid w:val="00A700AC"/>
    <w:rsid w:val="00A71FE4"/>
    <w:rsid w:val="00A84A58"/>
    <w:rsid w:val="00AC4E3B"/>
    <w:rsid w:val="00B10E3E"/>
    <w:rsid w:val="00B463DA"/>
    <w:rsid w:val="00B47D4A"/>
    <w:rsid w:val="00B61036"/>
    <w:rsid w:val="00B77D9D"/>
    <w:rsid w:val="00B83A36"/>
    <w:rsid w:val="00B865E3"/>
    <w:rsid w:val="00B9041B"/>
    <w:rsid w:val="00B95571"/>
    <w:rsid w:val="00BA1A7D"/>
    <w:rsid w:val="00BA3A14"/>
    <w:rsid w:val="00BA7ED3"/>
    <w:rsid w:val="00BB5543"/>
    <w:rsid w:val="00BC1170"/>
    <w:rsid w:val="00BC7EB2"/>
    <w:rsid w:val="00BD1FB5"/>
    <w:rsid w:val="00BF631B"/>
    <w:rsid w:val="00C026BA"/>
    <w:rsid w:val="00C555B5"/>
    <w:rsid w:val="00CA539E"/>
    <w:rsid w:val="00CA7CE4"/>
    <w:rsid w:val="00CE49B1"/>
    <w:rsid w:val="00CE5594"/>
    <w:rsid w:val="00D05B89"/>
    <w:rsid w:val="00D12DC9"/>
    <w:rsid w:val="00D12FFE"/>
    <w:rsid w:val="00D148BD"/>
    <w:rsid w:val="00D361F1"/>
    <w:rsid w:val="00D52C8C"/>
    <w:rsid w:val="00D536BD"/>
    <w:rsid w:val="00D54827"/>
    <w:rsid w:val="00D55307"/>
    <w:rsid w:val="00D807FA"/>
    <w:rsid w:val="00D8449A"/>
    <w:rsid w:val="00DD3716"/>
    <w:rsid w:val="00DD7111"/>
    <w:rsid w:val="00DE6453"/>
    <w:rsid w:val="00DF25D0"/>
    <w:rsid w:val="00DF5FBD"/>
    <w:rsid w:val="00E000F2"/>
    <w:rsid w:val="00E066CC"/>
    <w:rsid w:val="00E34F96"/>
    <w:rsid w:val="00E3532C"/>
    <w:rsid w:val="00E540F9"/>
    <w:rsid w:val="00E679A1"/>
    <w:rsid w:val="00EA7F4B"/>
    <w:rsid w:val="00EB047E"/>
    <w:rsid w:val="00EB23CC"/>
    <w:rsid w:val="00EE40EA"/>
    <w:rsid w:val="00F20FE2"/>
    <w:rsid w:val="00F2264C"/>
    <w:rsid w:val="00F344FC"/>
    <w:rsid w:val="00F52708"/>
    <w:rsid w:val="00F72F88"/>
    <w:rsid w:val="00F73390"/>
    <w:rsid w:val="00F76957"/>
    <w:rsid w:val="00F95640"/>
    <w:rsid w:val="00FA3363"/>
    <w:rsid w:val="00FB3CBE"/>
    <w:rsid w:val="00FB672A"/>
    <w:rsid w:val="00FD35C4"/>
    <w:rsid w:val="00FF6511"/>
    <w:rsid w:val="0661A714"/>
    <w:rsid w:val="35D8C61C"/>
    <w:rsid w:val="6C317C2B"/>
    <w:rsid w:val="757D8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B376"/>
  <w15:chartTrackingRefBased/>
  <w15:docId w15:val="{C1167880-70D9-4300-91DE-9CBB72A2F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9C7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5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C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C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9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C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C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9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C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9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C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9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C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9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C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9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9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9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9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9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9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9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9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9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9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9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</w:rPr>
  </w:style>
  <w:style w:type="character" w:customStyle="1" w:styleId="TitleChar">
    <w:name w:val="Title Char"/>
    <w:basedOn w:val="DefaultParagraphFont"/>
    <w:link w:val="Title"/>
    <w:uiPriority w:val="10"/>
    <w:rsid w:val="009B5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CA"/>
    </w:rPr>
  </w:style>
  <w:style w:type="character" w:customStyle="1" w:styleId="SubtitleChar">
    <w:name w:val="Subtitle Char"/>
    <w:basedOn w:val="DefaultParagraphFont"/>
    <w:link w:val="Subtitle"/>
    <w:uiPriority w:val="11"/>
    <w:rsid w:val="009B5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9C7"/>
    <w:pPr>
      <w:spacing w:before="160"/>
      <w:jc w:val="center"/>
    </w:pPr>
    <w:rPr>
      <w:rFonts w:ascii="Times New Roman" w:hAnsi="Times New Roman"/>
      <w:i/>
      <w:iCs/>
      <w:color w:val="404040" w:themeColor="text1" w:themeTint="BF"/>
      <w:lang w:val="en-CA"/>
    </w:rPr>
  </w:style>
  <w:style w:type="character" w:customStyle="1" w:styleId="QuoteChar">
    <w:name w:val="Quote Char"/>
    <w:basedOn w:val="DefaultParagraphFont"/>
    <w:link w:val="Quote"/>
    <w:uiPriority w:val="29"/>
    <w:rsid w:val="009B59C7"/>
    <w:rPr>
      <w:rFonts w:ascii="Times New Roman" w:hAnsi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9C7"/>
    <w:pPr>
      <w:ind w:left="720"/>
      <w:contextualSpacing/>
    </w:pPr>
    <w:rPr>
      <w:rFonts w:ascii="Times New Roman" w:hAnsi="Times New Roman"/>
      <w:lang w:val="en-CA"/>
    </w:rPr>
  </w:style>
  <w:style w:type="character" w:styleId="IntenseEmphasis">
    <w:name w:val="Intense Emphasis"/>
    <w:basedOn w:val="DefaultParagraphFont"/>
    <w:uiPriority w:val="21"/>
    <w:qFormat/>
    <w:rsid w:val="009B59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F4761" w:themeColor="accent1" w:themeShade="BF"/>
      <w:lang w:val="en-C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9C7"/>
    <w:rPr>
      <w:rFonts w:ascii="Times New Roman" w:hAnsi="Times New Roman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9C7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7110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10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10B7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0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0B7"/>
    <w:rPr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D55307"/>
    <w:pPr>
      <w:spacing w:after="0" w:line="240" w:lineRule="auto"/>
    </w:pPr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47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7E0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5390F315FDE94C86F0C28DB8DC6821" ma:contentTypeVersion="10" ma:contentTypeDescription="Create a new document." ma:contentTypeScope="" ma:versionID="e336649c59a951f08d10641513745206">
  <xsd:schema xmlns:xsd="http://www.w3.org/2001/XMLSchema" xmlns:xs="http://www.w3.org/2001/XMLSchema" xmlns:p="http://schemas.microsoft.com/office/2006/metadata/properties" xmlns:ns2="b7a03b55-ad5c-45a2-86f7-baa77e068666" targetNamespace="http://schemas.microsoft.com/office/2006/metadata/properties" ma:root="true" ma:fieldsID="6c439f6c9b46639f59f254afb310ddec" ns2:_="">
    <xsd:import namespace="b7a03b55-ad5c-45a2-86f7-baa77e0686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03b55-ad5c-45a2-86f7-baa77e0686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4dd9da6-50f7-440a-9788-2f68cc8af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a03b55-ad5c-45a2-86f7-baa77e0686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6C0846-CB89-45C6-B00B-21C6931046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8CC5B4-52AF-4824-8961-F6A3E31F55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993BD5-7407-40F5-B255-E9A387B163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a03b55-ad5c-45a2-86f7-baa77e068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1DE995-8F6C-4619-BE02-F59551F3A19D}">
  <ds:schemaRefs>
    <ds:schemaRef ds:uri="http://schemas.microsoft.com/office/2006/metadata/properties"/>
    <ds:schemaRef ds:uri="http://schemas.microsoft.com/office/infopath/2007/PartnerControls"/>
    <ds:schemaRef ds:uri="b7a03b55-ad5c-45a2-86f7-baa77e0686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Analysis Group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Analysis Group</dc:creator>
  <cp:keywords/>
  <dc:description/>
  <cp:lastModifiedBy>Bell, Adrian</cp:lastModifiedBy>
  <cp:revision>7</cp:revision>
  <dcterms:created xsi:type="dcterms:W3CDTF">2026-04-30T11:42:00Z</dcterms:created>
  <dcterms:modified xsi:type="dcterms:W3CDTF">2026-05-26T00:24:00Z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docLang">
    <vt:lpwstr>en</vt:lpwstr>
  </property>
  <property fmtid="{D5CDD505-2E9C-101B-9397-08002B2CF9AE}" pid="4" name="MSIP_Label_f31142f3-8099-46d1-8755-df3fda1ce27f_Enabled">
    <vt:lpwstr>true</vt:lpwstr>
  </property>
  <property fmtid="{D5CDD505-2E9C-101B-9397-08002B2CF9AE}" pid="5" name="MSIP_Label_f31142f3-8099-46d1-8755-df3fda1ce27f_SetDate">
    <vt:lpwstr>2026-04-23T17:52:21Z</vt:lpwstr>
  </property>
  <property fmtid="{D5CDD505-2E9C-101B-9397-08002B2CF9AE}" pid="6" name="MSIP_Label_f31142f3-8099-46d1-8755-df3fda1ce27f_Method">
    <vt:lpwstr>Privileged</vt:lpwstr>
  </property>
  <property fmtid="{D5CDD505-2E9C-101B-9397-08002B2CF9AE}" pid="7" name="MSIP_Label_f31142f3-8099-46d1-8755-df3fda1ce27f_Name">
    <vt:lpwstr>Public_</vt:lpwstr>
  </property>
  <property fmtid="{D5CDD505-2E9C-101B-9397-08002B2CF9AE}" pid="8" name="MSIP_Label_f31142f3-8099-46d1-8755-df3fda1ce27f_SiteId">
    <vt:lpwstr>4b4266a6-1368-41af-ad5a-59eb634f7ad8</vt:lpwstr>
  </property>
  <property fmtid="{D5CDD505-2E9C-101B-9397-08002B2CF9AE}" pid="9" name="MSIP_Label_f31142f3-8099-46d1-8755-df3fda1ce27f_ActionId">
    <vt:lpwstr>6496c634-9a26-4e8a-a75f-bb8b525da8ba</vt:lpwstr>
  </property>
  <property fmtid="{D5CDD505-2E9C-101B-9397-08002B2CF9AE}" pid="10" name="MSIP_Label_f31142f3-8099-46d1-8755-df3fda1ce27f_ContentBits">
    <vt:lpwstr>0</vt:lpwstr>
  </property>
  <property fmtid="{D5CDD505-2E9C-101B-9397-08002B2CF9AE}" pid="11" name="MSIP_Label_f31142f3-8099-46d1-8755-df3fda1ce27f_Tag">
    <vt:lpwstr>10, 0, 1, 1</vt:lpwstr>
  </property>
  <property fmtid="{D5CDD505-2E9C-101B-9397-08002B2CF9AE}" pid="12" name="ContentTypeId">
    <vt:lpwstr>0x010100F05390F315FDE94C86F0C28DB8DC6821</vt:lpwstr>
  </property>
  <property fmtid="{D5CDD505-2E9C-101B-9397-08002B2CF9AE}" pid="13" name="ClassificationContentMarkingFooterShapeIds">
    <vt:lpwstr>31bf2102,6a1ec95,29c854b3</vt:lpwstr>
  </property>
  <property fmtid="{D5CDD505-2E9C-101B-9397-08002B2CF9AE}" pid="14" name="ClassificationContentMarkingFooterFontProps">
    <vt:lpwstr>#0078d7,9,Rockwell</vt:lpwstr>
  </property>
  <property fmtid="{D5CDD505-2E9C-101B-9397-08002B2CF9AE}" pid="15" name="ClassificationContentMarkingFooterText">
    <vt:lpwstr>Information Classification: General</vt:lpwstr>
  </property>
  <property fmtid="{D5CDD505-2E9C-101B-9397-08002B2CF9AE}" pid="16" name="MSIP_Label_2bbab825-a111-45e4-86a1-18cee0005896_Enabled">
    <vt:lpwstr>true</vt:lpwstr>
  </property>
  <property fmtid="{D5CDD505-2E9C-101B-9397-08002B2CF9AE}" pid="17" name="MSIP_Label_2bbab825-a111-45e4-86a1-18cee0005896_SetDate">
    <vt:lpwstr>2026-05-26T00:14:17Z</vt:lpwstr>
  </property>
  <property fmtid="{D5CDD505-2E9C-101B-9397-08002B2CF9AE}" pid="18" name="MSIP_Label_2bbab825-a111-45e4-86a1-18cee0005896_Method">
    <vt:lpwstr>Standard</vt:lpwstr>
  </property>
  <property fmtid="{D5CDD505-2E9C-101B-9397-08002B2CF9AE}" pid="19" name="MSIP_Label_2bbab825-a111-45e4-86a1-18cee0005896_Name">
    <vt:lpwstr>2bbab825-a111-45e4-86a1-18cee0005896</vt:lpwstr>
  </property>
  <property fmtid="{D5CDD505-2E9C-101B-9397-08002B2CF9AE}" pid="20" name="MSIP_Label_2bbab825-a111-45e4-86a1-18cee0005896_SiteId">
    <vt:lpwstr>2567d566-604c-408a-8a60-55d0dc9d9d6b</vt:lpwstr>
  </property>
  <property fmtid="{D5CDD505-2E9C-101B-9397-08002B2CF9AE}" pid="21" name="MSIP_Label_2bbab825-a111-45e4-86a1-18cee0005896_ActionId">
    <vt:lpwstr>23fccb18-293c-44b3-97f3-1938ef42ef64</vt:lpwstr>
  </property>
  <property fmtid="{D5CDD505-2E9C-101B-9397-08002B2CF9AE}" pid="22" name="MSIP_Label_2bbab825-a111-45e4-86a1-18cee0005896_ContentBits">
    <vt:lpwstr>2</vt:lpwstr>
  </property>
  <property fmtid="{D5CDD505-2E9C-101B-9397-08002B2CF9AE}" pid="23" name="MSIP_Label_2bbab825-a111-45e4-86a1-18cee0005896_Tag">
    <vt:lpwstr>10, 3, 0, 1</vt:lpwstr>
  </property>
</Properties>
</file>