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A68F3" w14:textId="77777777" w:rsidR="001D649E" w:rsidRDefault="00000000" w:rsidP="00C11FE3">
      <w:pPr>
        <w:spacing w:after="120" w:line="360" w:lineRule="auto"/>
      </w:pPr>
      <w:r>
        <w:rPr>
          <w:sz w:val="24"/>
          <w:szCs w:val="24"/>
        </w:rPr>
        <w:t>Hello, I am Doctor Ibrahim Untan, and I would like to share with you the main findings of our study on the albumin-to-globulin ratio as a predictor of disease severity in patients presenting to the emergency department with flank pain.</w:t>
      </w:r>
    </w:p>
    <w:p w14:paraId="64866A3E" w14:textId="77777777" w:rsidR="001D649E" w:rsidRDefault="00000000" w:rsidP="00C11FE3">
      <w:pPr>
        <w:spacing w:after="120" w:line="360" w:lineRule="auto"/>
      </w:pPr>
      <w:r>
        <w:rPr>
          <w:sz w:val="24"/>
          <w:szCs w:val="24"/>
        </w:rPr>
        <w:t>Flank pain is one of the most common reasons for emergency department visits, and the differential diagnosis ranges from benign musculoskeletal pain to life-threatening conditions such as urosepsis and acute kidney injury. Rapid risk stratification is therefore essential. The albumin-to-globulin ratio, or AGR, is a simple bedside index derived from a routine metabolic panel. It reflects both the acute-phase response and baseline protein reserve, but its value in pre-intervention emergency department patients had not been systematically evaluated.</w:t>
      </w:r>
    </w:p>
    <w:p w14:paraId="7B998BD5" w14:textId="77777777" w:rsidR="001D649E" w:rsidRDefault="00000000" w:rsidP="00C11FE3">
      <w:pPr>
        <w:spacing w:after="120" w:line="360" w:lineRule="auto"/>
      </w:pPr>
      <w:r>
        <w:rPr>
          <w:sz w:val="24"/>
          <w:szCs w:val="24"/>
        </w:rPr>
        <w:t>We conducted a retrospective cross-sectional study of two hundred ninety-one consecutive adults who presented to the emergency department with flank pain. Severe presentation was defined as the presence of two or more of the following: hydronephrosis, acute kidney injury, elevated C-reactive protein, or leukocytosis. We assessed discrimination using receiver operating characteristic analysis. Then we performed multivariable logistic regression, adjusting for age, sex, urolithiasis, and log-transformed neutrophil-to-lymphocyte ratio. Finally, we evaluated whether AGR added incremental value beyond models already containing CRP and creatinine.</w:t>
      </w:r>
    </w:p>
    <w:p w14:paraId="4166E92B" w14:textId="77777777" w:rsidR="001D649E" w:rsidRDefault="00000000" w:rsidP="00C11FE3">
      <w:pPr>
        <w:spacing w:after="120" w:line="360" w:lineRule="auto"/>
      </w:pPr>
      <w:r>
        <w:rPr>
          <w:sz w:val="24"/>
          <w:szCs w:val="24"/>
        </w:rPr>
        <w:t>Fifty-nine patients, or twenty percent, had severe presentations. AGR was significantly lower in this group, with an area under the curve of zero point seven three and an optimal cutoff at one point three five. After adjustment, each zero point one-unit decrease in AGR was associated with eighteen percent higher odds of severe presentation. However — and this is important — AGR did not improve discrimination beyond a model already containing CRP and creatinine, and it did not predict the presence of urolithiasis.</w:t>
      </w:r>
    </w:p>
    <w:p w14:paraId="7A7C005F" w14:textId="77777777" w:rsidR="001D649E" w:rsidRDefault="00000000" w:rsidP="00C11FE3">
      <w:pPr>
        <w:spacing w:after="120" w:line="360" w:lineRule="auto"/>
      </w:pPr>
      <w:r>
        <w:rPr>
          <w:sz w:val="24"/>
          <w:szCs w:val="24"/>
        </w:rPr>
        <w:t>We therefore conclude that AGR is best regarded as an adjunctive marker — one that may complement, but should not replace, established markers and clinical judgment in the emergency department. Prospective multicenter validation is the natural next step. Thank you for your attention.</w:t>
      </w:r>
    </w:p>
    <w:sectPr w:rsidR="001D649E">
      <w:headerReference w:type="default" r:id="rId7"/>
      <w:footerReference w:type="even" r:id="rId8"/>
      <w:footerReference w:type="default" r:id="rId9"/>
      <w:footerReference w:type="first" r:id="rId10"/>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31803" w14:textId="77777777" w:rsidR="004D7F70" w:rsidRDefault="004D7F70">
      <w:r>
        <w:separator/>
      </w:r>
    </w:p>
  </w:endnote>
  <w:endnote w:type="continuationSeparator" w:id="0">
    <w:p w14:paraId="6ADD664D" w14:textId="77777777" w:rsidR="004D7F70" w:rsidRDefault="004D7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A4AAA" w14:textId="164A65B8" w:rsidR="00C11FE3" w:rsidRDefault="00C11FE3">
    <w:pPr>
      <w:pStyle w:val="Footer"/>
    </w:pPr>
    <w:r>
      <w:rPr>
        <w:noProof/>
      </w:rPr>
      <mc:AlternateContent>
        <mc:Choice Requires="wps">
          <w:drawing>
            <wp:anchor distT="0" distB="0" distL="0" distR="0" simplePos="0" relativeHeight="251659264" behindDoc="0" locked="0" layoutInCell="1" allowOverlap="1" wp14:anchorId="3F2CF0E0" wp14:editId="4399BAE3">
              <wp:simplePos x="635" y="635"/>
              <wp:positionH relativeFrom="page">
                <wp:align>left</wp:align>
              </wp:positionH>
              <wp:positionV relativeFrom="page">
                <wp:align>bottom</wp:align>
              </wp:positionV>
              <wp:extent cx="2085975" cy="324485"/>
              <wp:effectExtent l="0" t="0" r="9525" b="0"/>
              <wp:wrapNone/>
              <wp:docPr id="917721645"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24485"/>
                      </a:xfrm>
                      <a:prstGeom prst="rect">
                        <a:avLst/>
                      </a:prstGeom>
                      <a:noFill/>
                      <a:ln>
                        <a:noFill/>
                      </a:ln>
                    </wps:spPr>
                    <wps:txbx>
                      <w:txbxContent>
                        <w:p w14:paraId="48392EC3" w14:textId="54C3DCE9" w:rsidR="00C11FE3" w:rsidRPr="00C11FE3" w:rsidRDefault="00C11FE3" w:rsidP="00C11FE3">
                          <w:pPr>
                            <w:rPr>
                              <w:rFonts w:ascii="Rockwell" w:eastAsia="Rockwell" w:hAnsi="Rockwell" w:cs="Rockwell"/>
                              <w:noProof/>
                              <w:color w:val="0078D7"/>
                              <w:sz w:val="18"/>
                              <w:szCs w:val="18"/>
                            </w:rPr>
                          </w:pPr>
                          <w:r w:rsidRPr="00C11FE3">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2CF0E0"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" filled="f" stroked="f">
              <v:fill o:detectmouseclick="t"/>
              <v:textbox style="mso-fit-shape-to-text:t" inset="20pt,0,0,15pt">
                <w:txbxContent>
                  <w:p w14:paraId="48392EC3" w14:textId="54C3DCE9" w:rsidR="00C11FE3" w:rsidRPr="00C11FE3" w:rsidRDefault="00C11FE3" w:rsidP="00C11FE3">
                    <w:pPr>
                      <w:rPr>
                        <w:rFonts w:ascii="Rockwell" w:eastAsia="Rockwell" w:hAnsi="Rockwell" w:cs="Rockwell"/>
                        <w:noProof/>
                        <w:color w:val="0078D7"/>
                        <w:sz w:val="18"/>
                        <w:szCs w:val="18"/>
                      </w:rPr>
                    </w:pPr>
                    <w:r w:rsidRPr="00C11FE3">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142DB" w14:textId="45FBCA52" w:rsidR="001D649E" w:rsidRDefault="00C11FE3">
    <w:pPr>
      <w:jc w:val="center"/>
    </w:pPr>
    <w:r>
      <w:rPr>
        <w:noProof/>
      </w:rPr>
      <mc:AlternateContent>
        <mc:Choice Requires="wps">
          <w:drawing>
            <wp:anchor distT="0" distB="0" distL="0" distR="0" simplePos="0" relativeHeight="251660288" behindDoc="0" locked="0" layoutInCell="1" allowOverlap="1" wp14:anchorId="678D8CD2" wp14:editId="4D604D76">
              <wp:simplePos x="914400" y="9448800"/>
              <wp:positionH relativeFrom="page">
                <wp:align>left</wp:align>
              </wp:positionH>
              <wp:positionV relativeFrom="page">
                <wp:align>bottom</wp:align>
              </wp:positionV>
              <wp:extent cx="2085975" cy="324485"/>
              <wp:effectExtent l="0" t="0" r="9525" b="0"/>
              <wp:wrapNone/>
              <wp:docPr id="1935016176"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24485"/>
                      </a:xfrm>
                      <a:prstGeom prst="rect">
                        <a:avLst/>
                      </a:prstGeom>
                      <a:noFill/>
                      <a:ln>
                        <a:noFill/>
                      </a:ln>
                    </wps:spPr>
                    <wps:txbx>
                      <w:txbxContent>
                        <w:p w14:paraId="58A7B336" w14:textId="3492F190" w:rsidR="00C11FE3" w:rsidRPr="00C11FE3" w:rsidRDefault="00C11FE3" w:rsidP="00C11FE3">
                          <w:pPr>
                            <w:rPr>
                              <w:rFonts w:ascii="Rockwell" w:eastAsia="Rockwell" w:hAnsi="Rockwell" w:cs="Rockwell"/>
                              <w:noProof/>
                              <w:color w:val="0078D7"/>
                              <w:sz w:val="18"/>
                              <w:szCs w:val="18"/>
                            </w:rPr>
                          </w:pPr>
                          <w:r w:rsidRPr="00C11FE3">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78D8CD2" id="_x0000_t202" coordsize="21600,21600" o:spt="202" path="m,l,21600r21600,l21600,xe">
              <v:stroke joinstyle="miter"/>
              <v:path gradientshapeok="t" o:connecttype="rect"/>
            </v:shapetype>
            <v:shape id="Text Box 3" o:spid="_x0000_s1027" type="#_x0000_t202" alt="Information Classification: General" style="position:absolute;left:0;text-align:left;margin-left:0;margin-top:0;width:164.2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" filled="f" stroked="f">
              <v:fill o:detectmouseclick="t"/>
              <v:textbox style="mso-fit-shape-to-text:t" inset="20pt,0,0,15pt">
                <w:txbxContent>
                  <w:p w14:paraId="58A7B336" w14:textId="3492F190" w:rsidR="00C11FE3" w:rsidRPr="00C11FE3" w:rsidRDefault="00C11FE3" w:rsidP="00C11FE3">
                    <w:pPr>
                      <w:rPr>
                        <w:rFonts w:ascii="Rockwell" w:eastAsia="Rockwell" w:hAnsi="Rockwell" w:cs="Rockwell"/>
                        <w:noProof/>
                        <w:color w:val="0078D7"/>
                        <w:sz w:val="18"/>
                        <w:szCs w:val="18"/>
                      </w:rPr>
                    </w:pPr>
                    <w:r w:rsidRPr="00C11FE3">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7693A" w14:textId="4C7C6738" w:rsidR="00C11FE3" w:rsidRDefault="00C11FE3">
    <w:pPr>
      <w:pStyle w:val="Footer"/>
    </w:pPr>
    <w:r>
      <w:rPr>
        <w:noProof/>
      </w:rPr>
      <mc:AlternateContent>
        <mc:Choice Requires="wps">
          <w:drawing>
            <wp:anchor distT="0" distB="0" distL="0" distR="0" simplePos="0" relativeHeight="251658240" behindDoc="0" locked="0" layoutInCell="1" allowOverlap="1" wp14:anchorId="5B909E3E" wp14:editId="5544D27D">
              <wp:simplePos x="635" y="635"/>
              <wp:positionH relativeFrom="page">
                <wp:align>left</wp:align>
              </wp:positionH>
              <wp:positionV relativeFrom="page">
                <wp:align>bottom</wp:align>
              </wp:positionV>
              <wp:extent cx="2085975" cy="324485"/>
              <wp:effectExtent l="0" t="0" r="9525" b="0"/>
              <wp:wrapNone/>
              <wp:docPr id="1710080444"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24485"/>
                      </a:xfrm>
                      <a:prstGeom prst="rect">
                        <a:avLst/>
                      </a:prstGeom>
                      <a:noFill/>
                      <a:ln>
                        <a:noFill/>
                      </a:ln>
                    </wps:spPr>
                    <wps:txbx>
                      <w:txbxContent>
                        <w:p w14:paraId="686483E9" w14:textId="73258331" w:rsidR="00C11FE3" w:rsidRPr="00C11FE3" w:rsidRDefault="00C11FE3" w:rsidP="00C11FE3">
                          <w:pPr>
                            <w:rPr>
                              <w:rFonts w:ascii="Rockwell" w:eastAsia="Rockwell" w:hAnsi="Rockwell" w:cs="Rockwell"/>
                              <w:noProof/>
                              <w:color w:val="0078D7"/>
                              <w:sz w:val="18"/>
                              <w:szCs w:val="18"/>
                            </w:rPr>
                          </w:pPr>
                          <w:r w:rsidRPr="00C11FE3">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909E3E"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" filled="f" stroked="f">
              <v:fill o:detectmouseclick="t"/>
              <v:textbox style="mso-fit-shape-to-text:t" inset="20pt,0,0,15pt">
                <w:txbxContent>
                  <w:p w14:paraId="686483E9" w14:textId="73258331" w:rsidR="00C11FE3" w:rsidRPr="00C11FE3" w:rsidRDefault="00C11FE3" w:rsidP="00C11FE3">
                    <w:pPr>
                      <w:rPr>
                        <w:rFonts w:ascii="Rockwell" w:eastAsia="Rockwell" w:hAnsi="Rockwell" w:cs="Rockwell"/>
                        <w:noProof/>
                        <w:color w:val="0078D7"/>
                        <w:sz w:val="18"/>
                        <w:szCs w:val="18"/>
                      </w:rPr>
                    </w:pPr>
                    <w:r w:rsidRPr="00C11FE3">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B0933" w14:textId="77777777" w:rsidR="004D7F70" w:rsidRDefault="004D7F70">
      <w:r>
        <w:separator/>
      </w:r>
    </w:p>
  </w:footnote>
  <w:footnote w:type="continuationSeparator" w:id="0">
    <w:p w14:paraId="4A36AD3B" w14:textId="77777777" w:rsidR="004D7F70" w:rsidRDefault="004D7F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9A793" w14:textId="61727F6A" w:rsidR="001D649E" w:rsidRDefault="001D649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759F7"/>
    <w:multiLevelType w:val="hybridMultilevel"/>
    <w:tmpl w:val="0C0CA78E"/>
    <w:lvl w:ilvl="0" w:tplc="6224979E">
      <w:start w:val="1"/>
      <w:numFmt w:val="bullet"/>
      <w:lvlText w:val="●"/>
      <w:lvlJc w:val="left"/>
      <w:pPr>
        <w:ind w:left="720" w:hanging="360"/>
      </w:pPr>
    </w:lvl>
    <w:lvl w:ilvl="1" w:tplc="05C24722">
      <w:start w:val="1"/>
      <w:numFmt w:val="bullet"/>
      <w:lvlText w:val="○"/>
      <w:lvlJc w:val="left"/>
      <w:pPr>
        <w:ind w:left="1440" w:hanging="360"/>
      </w:pPr>
    </w:lvl>
    <w:lvl w:ilvl="2" w:tplc="68D63052">
      <w:start w:val="1"/>
      <w:numFmt w:val="bullet"/>
      <w:lvlText w:val="■"/>
      <w:lvlJc w:val="left"/>
      <w:pPr>
        <w:ind w:left="2160" w:hanging="360"/>
      </w:pPr>
    </w:lvl>
    <w:lvl w:ilvl="3" w:tplc="46DCE46E">
      <w:start w:val="1"/>
      <w:numFmt w:val="bullet"/>
      <w:lvlText w:val="●"/>
      <w:lvlJc w:val="left"/>
      <w:pPr>
        <w:ind w:left="2880" w:hanging="360"/>
      </w:pPr>
    </w:lvl>
    <w:lvl w:ilvl="4" w:tplc="D8D86AA0">
      <w:start w:val="1"/>
      <w:numFmt w:val="bullet"/>
      <w:lvlText w:val="○"/>
      <w:lvlJc w:val="left"/>
      <w:pPr>
        <w:ind w:left="3600" w:hanging="360"/>
      </w:pPr>
    </w:lvl>
    <w:lvl w:ilvl="5" w:tplc="D6C255E0">
      <w:start w:val="1"/>
      <w:numFmt w:val="bullet"/>
      <w:lvlText w:val="■"/>
      <w:lvlJc w:val="left"/>
      <w:pPr>
        <w:ind w:left="4320" w:hanging="360"/>
      </w:pPr>
    </w:lvl>
    <w:lvl w:ilvl="6" w:tplc="FAEE2806">
      <w:start w:val="1"/>
      <w:numFmt w:val="bullet"/>
      <w:lvlText w:val="●"/>
      <w:lvlJc w:val="left"/>
      <w:pPr>
        <w:ind w:left="5040" w:hanging="360"/>
      </w:pPr>
    </w:lvl>
    <w:lvl w:ilvl="7" w:tplc="BC848B8A">
      <w:start w:val="1"/>
      <w:numFmt w:val="bullet"/>
      <w:lvlText w:val="●"/>
      <w:lvlJc w:val="left"/>
      <w:pPr>
        <w:ind w:left="5760" w:hanging="360"/>
      </w:pPr>
    </w:lvl>
    <w:lvl w:ilvl="8" w:tplc="B7CA467E">
      <w:start w:val="1"/>
      <w:numFmt w:val="bullet"/>
      <w:lvlText w:val="●"/>
      <w:lvlJc w:val="left"/>
      <w:pPr>
        <w:ind w:left="6480" w:hanging="360"/>
      </w:pPr>
    </w:lvl>
  </w:abstractNum>
  <w:num w:numId="1" w16cid:durableId="126002632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49E"/>
    <w:rsid w:val="001D649E"/>
    <w:rsid w:val="00327B3A"/>
    <w:rsid w:val="004D7F70"/>
    <w:rsid w:val="00C11FE3"/>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AC22B"/>
  <w15:docId w15:val="{FACCAC3C-6177-4B99-A680-A3DF177FC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NZ"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Footer">
    <w:name w:val="footer"/>
    <w:basedOn w:val="Normal"/>
    <w:link w:val="FooterChar"/>
    <w:uiPriority w:val="99"/>
    <w:unhideWhenUsed/>
    <w:rsid w:val="00C11FE3"/>
    <w:pPr>
      <w:tabs>
        <w:tab w:val="center" w:pos="4513"/>
        <w:tab w:val="right" w:pos="9026"/>
      </w:tabs>
    </w:pPr>
  </w:style>
  <w:style w:type="character" w:customStyle="1" w:styleId="FooterChar">
    <w:name w:val="Footer Char"/>
    <w:basedOn w:val="DefaultParagraphFont"/>
    <w:link w:val="Footer"/>
    <w:uiPriority w:val="99"/>
    <w:rsid w:val="00C11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334</Words>
  <Characters>1909</Characters>
  <Application>Microsoft Office Word</Application>
  <DocSecurity>0</DocSecurity>
  <Lines>15</Lines>
  <Paragraphs>4</Paragraphs>
  <ScaleCrop>false</ScaleCrop>
  <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Video Abstract Transcript - 602023</dc:title>
  <dc:creator>Ibrahim Untan</dc:creator>
  <dc:description>Written transcript accompanying video abstract for manuscript 602023</dc:description>
  <cp:lastModifiedBy>Bell, Adrian</cp:lastModifiedBy>
  <cp:revision>2</cp:revision>
  <dcterms:created xsi:type="dcterms:W3CDTF">2026-05-10T10:11:00Z</dcterms:created>
  <dcterms:modified xsi:type="dcterms:W3CDTF">2026-05-20T03:10:00Z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65edc1bc,36b3522d,735600f0</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2026-05-20T03:10:06Z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783465ed-2332-434f-b197-0c87e3d6fa96</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